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hint="eastAsia" w:ascii="Times New Roman" w:hAnsi="Times New Roman" w:eastAsia="仿宋_GB2312" w:cs="Times New Roman"/>
          <w:sz w:val="44"/>
          <w:szCs w:val="44"/>
        </w:rPr>
      </w:pPr>
      <w:bookmarkStart w:id="3" w:name="_GoBack"/>
    </w:p>
    <w:bookmarkEnd w:id="3"/>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廊坊市</w:t>
      </w:r>
      <w:r>
        <w:rPr>
          <w:rFonts w:hint="eastAsia" w:ascii="Times New Roman" w:hAnsi="Times New Roman" w:eastAsia="方正小标宋简体" w:cs="Times New Roman"/>
          <w:sz w:val="44"/>
          <w:szCs w:val="44"/>
        </w:rPr>
        <w:t>广阳区审计局</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w:t>
      </w:r>
      <w:r>
        <w:rPr>
          <w:rFonts w:ascii="Times New Roman" w:hAnsi="Times New Roman" w:eastAsia="方正小标宋简体" w:cs="Times New Roman"/>
          <w:sz w:val="44"/>
          <w:szCs w:val="44"/>
        </w:rPr>
        <w:t>2年</w:t>
      </w:r>
      <w:r>
        <w:rPr>
          <w:rFonts w:hint="eastAsia" w:ascii="Times New Roman" w:hAnsi="Times New Roman" w:eastAsia="方正小标宋简体" w:cs="Times New Roman"/>
          <w:sz w:val="44"/>
          <w:szCs w:val="44"/>
          <w:lang w:eastAsia="zh-CN"/>
        </w:rPr>
        <w:t>单位</w:t>
      </w:r>
      <w:r>
        <w:rPr>
          <w:rFonts w:ascii="Times New Roman" w:hAnsi="Times New Roman" w:eastAsia="方正小标宋简体" w:cs="Times New Roman"/>
          <w:sz w:val="44"/>
          <w:szCs w:val="44"/>
        </w:rPr>
        <w:t>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按照《中华人民共和国预算法》、《中华人民共和国预算法实施条例》、《地方预决算公开操作规程》和《河北省省级预算公开办法》规定，现将廊坊市广阳区审计局2022年</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w:t>
      </w:r>
      <w:r>
        <w:rPr>
          <w:rFonts w:hint="eastAsia" w:ascii="Times New Roman" w:hAnsi="Times New Roman" w:eastAsia="黑体" w:cs="Times New Roman"/>
          <w:sz w:val="32"/>
          <w:szCs w:val="32"/>
          <w:lang w:eastAsia="zh-CN"/>
        </w:rPr>
        <w:t>单位</w:t>
      </w:r>
      <w:r>
        <w:rPr>
          <w:rFonts w:ascii="Times New Roman" w:hAnsi="Times New Roman" w:eastAsia="黑体" w:cs="Times New Roman"/>
          <w:sz w:val="32"/>
          <w:szCs w:val="32"/>
        </w:rPr>
        <w:t>职责及机构设置情况</w:t>
      </w:r>
    </w:p>
    <w:p>
      <w:pPr>
        <w:spacing w:line="584" w:lineRule="exact"/>
        <w:ind w:firstLine="643" w:firstLineChars="200"/>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lang w:eastAsia="zh-CN"/>
        </w:rPr>
        <w:t>单位</w:t>
      </w:r>
      <w:r>
        <w:rPr>
          <w:rFonts w:ascii="Times New Roman" w:hAnsi="Times New Roman" w:eastAsia="楷体_GB2312" w:cs="Times New Roman"/>
          <w:b/>
          <w:sz w:val="32"/>
          <w:szCs w:val="32"/>
        </w:rPr>
        <w:t>职责：</w:t>
      </w:r>
    </w:p>
    <w:p>
      <w:pPr>
        <w:snapToGrid w:val="0"/>
        <w:spacing w:line="300" w:lineRule="auto"/>
        <w:ind w:firstLine="640" w:firstLineChars="200"/>
        <w:rPr>
          <w:rFonts w:ascii="Times New Roman" w:hAnsi="Times New Roman" w:eastAsia="仿宋_GB2312" w:cs="Times New Roman"/>
          <w:sz w:val="32"/>
          <w:szCs w:val="32"/>
        </w:rPr>
      </w:pPr>
      <w:r>
        <w:rPr>
          <w:rFonts w:hint="eastAsia" w:ascii="仿宋_GB2312" w:eastAsia="仿宋_GB2312" w:cs="仿宋_GB2312"/>
          <w:sz w:val="32"/>
          <w:szCs w:val="32"/>
        </w:rPr>
        <w:t>（1）主管全区审计工作。负责对全区财政收支和依法属于审计监督范围的财务收支的真实、合法和效益进行审计监督，对公共资金、国有资产、国有资源和领导干部履行经济责任情况实行审计全覆盖，对领导干部实行自然资源资产离任审计，对国家和省、市、区相关重大政策措施贯彻落实情况进行跟踪审计。对审计、专项审计调查和核查社会审计机构相关审计报告的结果承担责任，并负有督促被审计单位整改的责任。</w:t>
      </w:r>
      <w:r>
        <w:rPr>
          <w:rFonts w:ascii="仿宋_GB2312" w:eastAsia="仿宋_GB2312" w:cs="仿宋_GB2312"/>
          <w:sz w:val="32"/>
          <w:szCs w:val="32"/>
        </w:rPr>
        <w:t>(</w:t>
      </w:r>
      <w:r>
        <w:rPr>
          <w:rFonts w:hint="eastAsia" w:ascii="仿宋_GB2312" w:eastAsia="仿宋_GB2312" w:cs="仿宋_GB2312"/>
          <w:sz w:val="32"/>
          <w:szCs w:val="32"/>
        </w:rPr>
        <w:t>2</w:t>
      </w:r>
      <w:r>
        <w:rPr>
          <w:rFonts w:ascii="仿宋_GB2312" w:eastAsia="仿宋_GB2312" w:cs="仿宋_GB2312"/>
          <w:sz w:val="32"/>
          <w:szCs w:val="32"/>
        </w:rPr>
        <w:t>)</w:t>
      </w:r>
      <w:r>
        <w:rPr>
          <w:rFonts w:hint="eastAsia" w:ascii="仿宋_GB2312" w:eastAsia="仿宋_GB2312" w:cs="仿宋_GB2312"/>
          <w:sz w:val="32"/>
          <w:szCs w:val="32"/>
        </w:rPr>
        <w:t>贯彻执行审计法律、法规和方针、政策，制定审计规范性文件并监督执行；制定并组织实施全区审计工作发展规划和专业领域审计工作规划；制定并组织实施全区年度审计计划；上报、调整年度审计项目计划；对直接审计、调查和核查的事项依法进行审计评价，作出审计决定或提出审计建议。（3）向中共廊坊市广阳区委审计委员会提出年度区本级预算执行和其他财政支出情况审计报告。向区长提出年度区本级预算执行和其他财政收支情况的审计结果报告。组织起草区政府向区人大常委会提出区本级预算执行和其他财政收支情况的审计工作报告、审计查出问题整改情况报告。向区委、区政府报告对其他事项的审计和专项审计调查情况及结果。依法向社会公布审计结果。向被审计单位通报审计情况和审计结果。（4）直接审计下列事项，出具审计报告，在法定职权范围内作出审计决定，包括国家和省、市、区有关重大政策措施贯彻落实情况；区本级预算执行、决算草案和其他财政收支，区直各</w:t>
      </w:r>
      <w:r>
        <w:rPr>
          <w:rFonts w:hint="eastAsia" w:ascii="仿宋_GB2312" w:eastAsia="仿宋_GB2312" w:cs="仿宋_GB2312"/>
          <w:sz w:val="32"/>
          <w:szCs w:val="32"/>
          <w:lang w:eastAsia="zh-CN"/>
        </w:rPr>
        <w:t>单位</w:t>
      </w:r>
      <w:r>
        <w:rPr>
          <w:rFonts w:hint="eastAsia" w:ascii="仿宋_GB2312" w:eastAsia="仿宋_GB2312" w:cs="仿宋_GB2312"/>
          <w:sz w:val="32"/>
          <w:szCs w:val="32"/>
        </w:rPr>
        <w:t>（含所属单位）预算执行情况、决算和其他财政收支，乡级政府及街道办事处预算执行情况、决算和其他财政收支，区财政转移支付资金；使用区级财政资金的事业单位和社会团体的财务收支；区投资和以区投资为主的建设项目的预算执行情况和决算，区重大公共工程项目的资金管理使用和建设运营情况；自然资源管理、污染防治和生态保护与修复情况；区属国有和国有资本占控股或者主导地位的企业和金融机构境内外资产、负债和损益，区驻外非经营性机构的财务收支；有关社会保障基金、社会捐赠资金和其他基金、资金的财务收支；国际组织和外国政府援助、贷款项目；法律法规规定的其他事项。（5）按规定对区管党政主要领导干部及其他单位主要负责人实施经济责任审计和自然资源资产离任审计。（6）组织实施对财经法律法规、规章、政策和宏观调控措施执行情况、财政预算管理及国有资产管理使用等与财政收支有关的特定事项进行专项审计调查。（7）依法检查审计决定执行情况，督促整改审计查出的问题，依法办理被审计单位对审计决定提请行政复议、行政诉讼或区政府裁决中的有关事项，协助配合有关</w:t>
      </w:r>
      <w:r>
        <w:rPr>
          <w:rFonts w:hint="eastAsia" w:ascii="仿宋_GB2312" w:eastAsia="仿宋_GB2312" w:cs="仿宋_GB2312"/>
          <w:sz w:val="32"/>
          <w:szCs w:val="32"/>
          <w:lang w:eastAsia="zh-CN"/>
        </w:rPr>
        <w:t>单位</w:t>
      </w:r>
      <w:r>
        <w:rPr>
          <w:rFonts w:hint="eastAsia" w:ascii="仿宋_GB2312" w:eastAsia="仿宋_GB2312" w:cs="仿宋_GB2312"/>
          <w:sz w:val="32"/>
          <w:szCs w:val="32"/>
        </w:rPr>
        <w:t>查处相关重大案件。（8）指导和监督内部审计工作，核查社会审计机构对依法属于审计监督对象的单位出具的相关审计报告。（9）组织开展审计领域的交流与合作，指导和推广信息技术在审计领域的应用。（10）完成区委、区政府和市审计局交办的其他任务。</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hint="eastAsia" w:ascii="Times New Roman" w:hAnsi="Times New Roman" w:eastAsia="仿宋_GB2312" w:cs="Times New Roman"/>
          <w:b/>
          <w:sz w:val="32"/>
          <w:szCs w:val="24"/>
          <w:lang w:eastAsia="zh-CN"/>
        </w:rPr>
        <w:t>单位</w:t>
      </w:r>
      <w:r>
        <w:rPr>
          <w:rFonts w:ascii="Times New Roman" w:hAnsi="Times New Roman" w:eastAsia="仿宋_GB2312" w:cs="Times New Roman"/>
          <w:b/>
          <w:sz w:val="32"/>
          <w:szCs w:val="24"/>
        </w:rPr>
        <w:t>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tc>
        <w:tc>
          <w:tcPr>
            <w:tcW w:w="1134" w:type="dxa"/>
            <w:vMerge w:val="continue"/>
            <w:shd w:val="clear" w:color="auto" w:fill="auto"/>
            <w:vAlign w:val="center"/>
          </w:tcPr>
          <w:p/>
        </w:tc>
        <w:tc>
          <w:tcPr>
            <w:tcW w:w="1276" w:type="dxa"/>
            <w:vMerge w:val="continue"/>
            <w:shd w:val="clear" w:color="auto" w:fill="auto"/>
            <w:vAlign w:val="center"/>
          </w:tcPr>
          <w:p/>
        </w:tc>
        <w:tc>
          <w:tcPr>
            <w:tcW w:w="2902"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廊坊市广阳区审计局</w:t>
            </w:r>
          </w:p>
        </w:tc>
        <w:tc>
          <w:tcPr>
            <w:tcW w:w="1134"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行政单位</w:t>
            </w:r>
          </w:p>
        </w:tc>
        <w:tc>
          <w:tcPr>
            <w:tcW w:w="1276"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正科级</w:t>
            </w:r>
          </w:p>
        </w:tc>
        <w:tc>
          <w:tcPr>
            <w:tcW w:w="2902"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财政拨款</w:t>
            </w:r>
          </w:p>
        </w:tc>
      </w:tr>
    </w:tbl>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w:t>
      </w:r>
      <w:r>
        <w:rPr>
          <w:rFonts w:hint="eastAsia" w:ascii="Times New Roman" w:hAnsi="Times New Roman" w:eastAsia="黑体" w:cs="Times New Roman"/>
          <w:sz w:val="32"/>
          <w:szCs w:val="32"/>
          <w:lang w:eastAsia="zh-CN"/>
        </w:rPr>
        <w:t>单位</w:t>
      </w:r>
      <w:r>
        <w:rPr>
          <w:rFonts w:ascii="Times New Roman" w:hAnsi="Times New Roman" w:eastAsia="黑体" w:cs="Times New Roman"/>
          <w:sz w:val="32"/>
          <w:szCs w:val="32"/>
        </w:rPr>
        <w:t>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rPr>
        <w:t>区</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预算的编制实行综合预算制度，即全部收入和支出都反映在预算中。廊坊市</w:t>
      </w:r>
      <w:r>
        <w:rPr>
          <w:rFonts w:hint="eastAsia" w:ascii="Times New Roman" w:hAnsi="Times New Roman" w:eastAsia="仿宋_GB2312" w:cs="Times New Roman"/>
          <w:sz w:val="32"/>
          <w:szCs w:val="32"/>
        </w:rPr>
        <w:t>广阳区审计局机关</w:t>
      </w:r>
      <w:r>
        <w:rPr>
          <w:rFonts w:ascii="Times New Roman" w:hAnsi="Times New Roman" w:eastAsia="仿宋_GB2312" w:cs="Times New Roman"/>
          <w:sz w:val="32"/>
          <w:szCs w:val="32"/>
        </w:rPr>
        <w:t>的收支包含在</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当年全部收入。20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2年预算收入</w:t>
      </w:r>
      <w:r>
        <w:rPr>
          <w:rFonts w:hint="eastAsia" w:ascii="Times New Roman" w:hAnsi="Times New Roman" w:eastAsia="仿宋_GB2312" w:cs="Times New Roman"/>
          <w:sz w:val="32"/>
          <w:szCs w:val="32"/>
        </w:rPr>
        <w:t>385.18</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rPr>
        <w:t>385.18</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rPr>
        <w:t>0万元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收支预算总表支出栏、基本支出表、项目支出表按经济分类和支出功能分类科目编制，反映廊坊市</w:t>
      </w:r>
      <w:r>
        <w:rPr>
          <w:rFonts w:hint="eastAsia" w:ascii="Times New Roman" w:hAnsi="Times New Roman" w:eastAsia="仿宋_GB2312" w:cs="Times New Roman"/>
          <w:sz w:val="32"/>
          <w:szCs w:val="32"/>
        </w:rPr>
        <w:t>广阳区审计局2022</w:t>
      </w:r>
      <w:r>
        <w:rPr>
          <w:rFonts w:ascii="Times New Roman" w:hAnsi="Times New Roman" w:eastAsia="仿宋_GB2312" w:cs="Times New Roman"/>
          <w:sz w:val="32"/>
          <w:szCs w:val="32"/>
        </w:rPr>
        <w:t>年度</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预算中支出预算的总体情况。20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2年支出预算</w:t>
      </w:r>
      <w:r>
        <w:rPr>
          <w:rFonts w:hint="eastAsia" w:ascii="Times New Roman" w:hAnsi="Times New Roman" w:eastAsia="仿宋_GB2312" w:cs="Times New Roman"/>
          <w:sz w:val="32"/>
          <w:szCs w:val="32"/>
        </w:rPr>
        <w:t>385.18</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rPr>
        <w:t>330.18</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rPr>
        <w:t>289.01</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rPr>
        <w:t>41.17</w:t>
      </w:r>
      <w:r>
        <w:rPr>
          <w:rFonts w:ascii="Times New Roman" w:hAnsi="Times New Roman" w:eastAsia="仿宋_GB2312" w:cs="Times New Roman"/>
          <w:sz w:val="32"/>
          <w:szCs w:val="32"/>
        </w:rPr>
        <w:t>万元；特定目标类项目支出</w:t>
      </w:r>
      <w:r>
        <w:rPr>
          <w:rFonts w:hint="eastAsia" w:ascii="Times New Roman" w:hAnsi="Times New Roman" w:eastAsia="仿宋_GB2312" w:cs="Times New Roman"/>
          <w:sz w:val="32"/>
          <w:szCs w:val="32"/>
        </w:rPr>
        <w:t>55</w:t>
      </w:r>
      <w:r>
        <w:rPr>
          <w:rFonts w:ascii="Times New Roman" w:hAnsi="Times New Roman" w:eastAsia="仿宋_GB2312" w:cs="Times New Roman"/>
          <w:sz w:val="32"/>
          <w:szCs w:val="32"/>
        </w:rPr>
        <w:t>万元，包括本级支出，主要为</w:t>
      </w:r>
      <w:r>
        <w:rPr>
          <w:rFonts w:hint="eastAsia" w:ascii="Times New Roman" w:hAnsi="Times New Roman" w:eastAsia="仿宋_GB2312" w:cs="Times New Roman"/>
          <w:sz w:val="32"/>
          <w:szCs w:val="32"/>
        </w:rPr>
        <w:t>行政运行类支出</w:t>
      </w:r>
      <w:r>
        <w:rPr>
          <w:rFonts w:ascii="Times New Roman" w:hAnsi="Times New Roman" w:eastAsia="仿宋_GB2312" w:cs="Times New Roman"/>
          <w:sz w:val="32"/>
          <w:szCs w:val="32"/>
        </w:rPr>
        <w:t>等。</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2年预算收支安排</w:t>
      </w:r>
      <w:r>
        <w:rPr>
          <w:rFonts w:hint="eastAsia" w:ascii="Times New Roman" w:hAnsi="Times New Roman" w:eastAsia="仿宋_GB2312" w:cs="Times New Roman"/>
          <w:sz w:val="32"/>
          <w:szCs w:val="32"/>
        </w:rPr>
        <w:t>385.18</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1年预算增加</w:t>
      </w:r>
      <w:r>
        <w:rPr>
          <w:rFonts w:hint="eastAsia" w:ascii="Times New Roman" w:hAnsi="Times New Roman" w:eastAsia="仿宋_GB2312" w:cs="Times New Roman"/>
          <w:sz w:val="32"/>
          <w:szCs w:val="32"/>
        </w:rPr>
        <w:t>34.34</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rPr>
        <w:t>减少20.66</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rPr>
        <w:t>减少人员经费支出</w:t>
      </w:r>
      <w:r>
        <w:rPr>
          <w:rFonts w:ascii="Times New Roman" w:hAnsi="Times New Roman" w:eastAsia="仿宋_GB2312" w:cs="Times New Roman"/>
          <w:sz w:val="32"/>
          <w:szCs w:val="32"/>
        </w:rPr>
        <w:t>；项目支出增加</w:t>
      </w:r>
      <w:r>
        <w:rPr>
          <w:rFonts w:hint="eastAsia" w:ascii="Times New Roman" w:hAnsi="Times New Roman" w:eastAsia="仿宋_GB2312" w:cs="Times New Roman"/>
          <w:sz w:val="32"/>
          <w:szCs w:val="32"/>
        </w:rPr>
        <w:t>55</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rPr>
        <w:t>行政运行</w:t>
      </w:r>
      <w:r>
        <w:rPr>
          <w:rFonts w:ascii="Times New Roman" w:hAnsi="Times New Roman" w:eastAsia="仿宋_GB2312" w:cs="Times New Roman"/>
          <w:sz w:val="32"/>
          <w:szCs w:val="32"/>
        </w:rPr>
        <w:t>项目支出。</w:t>
      </w:r>
    </w:p>
    <w:p>
      <w:pPr>
        <w:keepNext w:val="0"/>
        <w:keepLines w:val="0"/>
        <w:pageBreakBefore w:val="0"/>
        <w:widowControl w:val="0"/>
        <w:kinsoku/>
        <w:wordWrap/>
        <w:overflowPunct/>
        <w:topLinePunct w:val="0"/>
        <w:autoSpaceDE w:val="0"/>
        <w:autoSpaceDN w:val="0"/>
        <w:bidi w:val="0"/>
        <w:adjustRightInd w:val="0"/>
        <w:snapToGrid/>
        <w:spacing w:line="584" w:lineRule="exact"/>
        <w:ind w:left="0" w:leftChars="0" w:firstLine="640" w:firstLineChars="200"/>
        <w:jc w:val="left"/>
        <w:textAlignment w:val="auto"/>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keepNext w:val="0"/>
        <w:keepLines w:val="0"/>
        <w:pageBreakBefore w:val="0"/>
        <w:widowControl w:val="0"/>
        <w:kinsoku/>
        <w:wordWrap/>
        <w:overflowPunct/>
        <w:topLinePunct w:val="0"/>
        <w:autoSpaceDE w:val="0"/>
        <w:autoSpaceDN w:val="0"/>
        <w:bidi w:val="0"/>
        <w:adjustRightInd w:val="0"/>
        <w:snapToGrid/>
        <w:spacing w:line="584" w:lineRule="exact"/>
        <w:ind w:left="0" w:leftChars="0" w:firstLine="640" w:firstLineChars="200"/>
        <w:jc w:val="lef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2年，我局机关运行经费共计安排</w:t>
      </w:r>
      <w:r>
        <w:rPr>
          <w:rFonts w:hint="eastAsia" w:ascii="Times New Roman" w:hAnsi="Times New Roman" w:eastAsia="仿宋_GB2312" w:cs="Times New Roman"/>
          <w:sz w:val="32"/>
          <w:szCs w:val="32"/>
        </w:rPr>
        <w:t>41.17</w:t>
      </w:r>
      <w:r>
        <w:rPr>
          <w:rFonts w:ascii="Times New Roman" w:hAnsi="Times New Roman" w:eastAsia="仿宋_GB2312" w:cs="Times New Roman"/>
          <w:sz w:val="32"/>
          <w:szCs w:val="32"/>
        </w:rPr>
        <w:t>万元，主要用于</w:t>
      </w:r>
      <w:r>
        <w:rPr>
          <w:rFonts w:hint="eastAsia" w:ascii="Times New Roman" w:hAnsi="Times New Roman" w:eastAsia="仿宋_GB2312" w:cs="Times New Roman"/>
          <w:sz w:val="32"/>
          <w:szCs w:val="32"/>
        </w:rPr>
        <w:t>审计局</w:t>
      </w:r>
      <w:r>
        <w:rPr>
          <w:rFonts w:ascii="Times New Roman" w:hAnsi="Times New Roman" w:eastAsia="仿宋_GB2312" w:cs="Times New Roman"/>
          <w:sz w:val="32"/>
          <w:szCs w:val="32"/>
        </w:rPr>
        <w:t>办公区的日常维修、办公用房水电费、办公用房取暖费、办公用房物业管理费等日常运行支出。</w:t>
      </w:r>
    </w:p>
    <w:p>
      <w:pPr>
        <w:keepNext w:val="0"/>
        <w:keepLines w:val="0"/>
        <w:pageBreakBefore w:val="0"/>
        <w:widowControl w:val="0"/>
        <w:kinsoku/>
        <w:wordWrap/>
        <w:overflowPunct/>
        <w:topLinePunct w:val="0"/>
        <w:autoSpaceDE w:val="0"/>
        <w:autoSpaceDN w:val="0"/>
        <w:bidi w:val="0"/>
        <w:adjustRightInd w:val="0"/>
        <w:snapToGrid/>
        <w:spacing w:line="584" w:lineRule="exact"/>
        <w:ind w:left="0" w:leftChars="0" w:firstLine="640" w:firstLineChars="200"/>
        <w:jc w:val="left"/>
        <w:textAlignment w:val="auto"/>
        <w:rPr>
          <w:rFonts w:ascii="Times New Roman" w:hAnsi="Times New Roman" w:eastAsia="黑体" w:cs="Times New Roman"/>
          <w:sz w:val="32"/>
          <w:szCs w:val="32"/>
        </w:rPr>
      </w:pPr>
      <w:r>
        <w:rPr>
          <w:rFonts w:ascii="Times New Roman" w:hAnsi="Times New Roman" w:eastAsia="黑体" w:cs="Times New Roman"/>
          <w:sz w:val="32"/>
          <w:szCs w:val="32"/>
        </w:rPr>
        <w:t>四、财政拨款“三公”经费预算情况及增减变化原因</w:t>
      </w:r>
    </w:p>
    <w:p>
      <w:pPr>
        <w:keepNext w:val="0"/>
        <w:keepLines w:val="0"/>
        <w:pageBreakBefore w:val="0"/>
        <w:widowControl w:val="0"/>
        <w:kinsoku/>
        <w:wordWrap/>
        <w:overflowPunct/>
        <w:topLinePunct w:val="0"/>
        <w:autoSpaceDE w:val="0"/>
        <w:autoSpaceDN w:val="0"/>
        <w:bidi w:val="0"/>
        <w:adjustRightInd w:val="0"/>
        <w:snapToGrid/>
        <w:spacing w:line="584" w:lineRule="exact"/>
        <w:ind w:left="0" w:leftChars="0" w:firstLine="640" w:firstLineChars="200"/>
        <w:jc w:val="lef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2年，我局财政拨款“三公”经费预算安排</w:t>
      </w:r>
      <w:r>
        <w:rPr>
          <w:rFonts w:hint="eastAsia" w:ascii="Times New Roman" w:hAnsi="Times New Roman" w:eastAsia="仿宋_GB2312" w:cs="Times New Roman"/>
          <w:sz w:val="32"/>
          <w:szCs w:val="32"/>
        </w:rPr>
        <w:t>2.19</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rPr>
        <w:t>2.19</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rPr>
        <w:t>2.19</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1年</w:t>
      </w:r>
      <w:r>
        <w:rPr>
          <w:rFonts w:hint="eastAsia" w:ascii="Times New Roman" w:hAnsi="Times New Roman" w:eastAsia="仿宋_GB2312" w:cs="Times New Roman"/>
          <w:sz w:val="32"/>
          <w:szCs w:val="32"/>
        </w:rPr>
        <w:t>相比持平，无增减变化。</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五、预算绩效信息</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 xml:space="preserve">第一部分 </w:t>
      </w:r>
      <w:r>
        <w:rPr>
          <w:rFonts w:hint="eastAsia" w:ascii="Times New Roman" w:hAnsi="Times New Roman" w:eastAsia="黑体" w:cs="Times New Roman"/>
          <w:sz w:val="32"/>
          <w:szCs w:val="32"/>
          <w:lang w:eastAsia="zh-CN"/>
        </w:rPr>
        <w:t>单位</w:t>
      </w:r>
      <w:r>
        <w:rPr>
          <w:rFonts w:hint="eastAsia" w:ascii="Times New Roman" w:hAnsi="Times New Roman" w:eastAsia="黑体" w:cs="Times New Roman"/>
          <w:sz w:val="32"/>
          <w:szCs w:val="32"/>
        </w:rPr>
        <w:t>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2022年，我局将继续坚持贯彻落实党的十九大精神，按照上级审计机关的部署和要求，围绕区委、区政府工作中心，力争做到“五个强化”，全面履行审计职责，不断加强党风廉政建设、机关作风建设、意识形态和精神文明建设，提升审计质量，防范审计风险，力争为我区经济社会健康发展作出更大贡献。</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审计业务。审计</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主管全区审计工作。通过对公共资金、国有资产、国有资源、领导干部经济责任履行情况进行审计，实现审计监督全覆盖，促进国家治理现代化和国民经济健康发展。主要审计本级财政</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组织本级预算执行情况，审计其他财政收支情况，审计其他取得财政资金的单位和项目接受、运用财政资金的真实、合法和效益情况,实施领导干部经济责任审计等审计。对经济领域中带有全局性、普遍性、倾向性的特定事项进行系统调查了解并向区政府报告情况和结果。通过审计财政、财务收支真实、合法和效益，维护国家财政经济秩序、促进廉政建设、保障国民经济的健康发展。通过专项审计调查，综合分析，向有关</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反映情况，揭露问题、提出解决问题的建议，为政府决策提供依据，为国家宏观调控服务。</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审计管理。审计</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进行内部审计管理和审计法制管理。通过建立健全法规，加大内部审计管理制度提高审计质量和审计机关法制管理水平。制定内部审计措施并组织落实；制定内部审计业务规章、制度、管理办法等并开展监督检查；指导内部审计业务，受理内审业务咨询，提高内部审计质量；协调内部审计和国家审计间工作，保障内部审计工作的顺利进行；控制费用标准严格。</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审计政务管理。主要包括系统综合业务管理和机关综合事务管理。充分发挥参谋助手作用和综合协调作用，推进审计事业科学协调发展。具体分为：组织开展信息化建设、教育培训、审计理论研究，抓好新闻宣传和文化建设、政务信息公开，开展审计服务和业务咨询。做到信息保障安全有效，信息化建设稳步推进；加强宣传引导；提高人员业务水平；促进审计文化研究，推动审计事业发展。</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强化财政预算执行和财政财务收支审计，提高财政资金使用效益。围绕财政“重点、热点、难点”问题，把百姓关注、政府关心的问题作为审计重点。合理安排2021年预算执行和决算以及其他财政财务收支审计项目。</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强化领导干部经济责任审计，促进领导干部依法履职。以贯彻落实党和国家有关方针政策和决策部署，推动领导干部守法、守纪、守规、尽责为目标，利用现有审计资源，统筹安排审计力量，充分发挥审计合力，进一步改进审计方法，注重边审边改，不断完善审计评价体系。</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以加强内审建设为抓手，全力推进内审工作发展。进一步加强对我区内部审计工作的指导和监督，加大成果利用，增强国家审计和内部审计的监督合力，全面促进内部审计工作发展，向审计工作全覆盖迈进。</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w:t>
      </w:r>
      <w:r>
        <w:rPr>
          <w:rFonts w:ascii="Times New Roman" w:hAnsi="Times New Roman" w:eastAsia="仿宋_GB2312" w:cs="Times New Roman"/>
          <w:sz w:val="32"/>
          <w:szCs w:val="32"/>
        </w:rPr>
        <w:t>坚持审计改革创新，从监督层面提高审计质量。坚持以现代审计理念拓展审计思路，创新审计方式方法，实现审计工作“三个转变”。</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5、</w:t>
      </w:r>
      <w:r>
        <w:rPr>
          <w:rFonts w:ascii="Times New Roman" w:hAnsi="Times New Roman" w:eastAsia="仿宋_GB2312" w:cs="Times New Roman"/>
          <w:sz w:val="32"/>
          <w:szCs w:val="32"/>
        </w:rPr>
        <w:t>以信息化建设为载体，推动审计信息化建设及大数据应用。进一步探索“两横两纵”审计模式，加强审计信息化建设，着力推进大数据审计，积极学习大数据审计的先进经验和做法，为以后开展大数据审计奠定基础。</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6、</w:t>
      </w:r>
      <w:r>
        <w:rPr>
          <w:rFonts w:ascii="Times New Roman" w:hAnsi="Times New Roman" w:eastAsia="仿宋_GB2312" w:cs="Times New Roman"/>
          <w:sz w:val="32"/>
          <w:szCs w:val="32"/>
        </w:rPr>
        <w:t>强化审计人员综合素质，提升审计项目质量。强化政治理论学习，加强审计业务培训，开展提质提效创建活动，加大审计成果转化和综合利用，关注审计问题整改，注重提高审计建议的前瞻性和针对性，继续规范审计程序，强化审理和业务会的重要作用，全面切实提升审计项目质量。</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7、</w:t>
      </w:r>
      <w:r>
        <w:rPr>
          <w:rFonts w:ascii="Times New Roman" w:hAnsi="Times New Roman" w:eastAsia="仿宋_GB2312" w:cs="Times New Roman"/>
          <w:sz w:val="32"/>
          <w:szCs w:val="32"/>
        </w:rPr>
        <w:t>强化作风建设和廉政建设，夯实审计工作堡垒。不断加强审计作风建设，认真贯彻落实中央八项规定、省市区委区政府的有关要求，倡导勤俭节约，坚持文明审计。</w:t>
      </w:r>
    </w:p>
    <w:p>
      <w:pPr>
        <w:overflowPunct w:val="0"/>
        <w:adjustRightInd w:val="0"/>
        <w:snapToGrid w:val="0"/>
        <w:spacing w:afterLines="50" w:line="580" w:lineRule="exact"/>
        <w:ind w:firstLine="630" w:firstLineChars="196"/>
        <w:jc w:val="left"/>
        <w:rPr>
          <w:rFonts w:ascii="楷体_GB2312" w:eastAsia="楷体_GB2312" w:cs="Times New Roman"/>
          <w:b/>
          <w:sz w:val="32"/>
          <w:szCs w:val="32"/>
        </w:rPr>
      </w:pPr>
      <w:r>
        <w:rPr>
          <w:rFonts w:hint="eastAsia" w:ascii="楷体_GB2312" w:eastAsia="楷体_GB2312" w:cs="Times New Roman"/>
          <w:b/>
          <w:sz w:val="32"/>
          <w:szCs w:val="32"/>
        </w:rPr>
        <w:t>（四）</w:t>
      </w:r>
      <w:r>
        <w:rPr>
          <w:rFonts w:hint="eastAsia" w:ascii="楷体_GB2312" w:eastAsia="楷体_GB2312" w:cs="Times New Roman"/>
          <w:b/>
          <w:sz w:val="32"/>
          <w:szCs w:val="32"/>
          <w:lang w:eastAsia="zh-CN"/>
        </w:rPr>
        <w:t>单位</w:t>
      </w:r>
      <w:r>
        <w:rPr>
          <w:rFonts w:hint="eastAsia" w:ascii="楷体_GB2312" w:eastAsia="楷体_GB2312" w:cs="Times New Roman"/>
          <w:b/>
          <w:sz w:val="32"/>
          <w:szCs w:val="32"/>
        </w:rPr>
        <w:t>整体支出绩效指标</w:t>
      </w:r>
    </w:p>
    <w:tbl>
      <w:tblPr>
        <w:tblStyle w:val="8"/>
        <w:tblW w:w="88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558"/>
        <w:gridCol w:w="825"/>
        <w:gridCol w:w="897"/>
        <w:gridCol w:w="2172"/>
        <w:gridCol w:w="1483"/>
        <w:gridCol w:w="543"/>
        <w:gridCol w:w="488"/>
        <w:gridCol w:w="573"/>
        <w:gridCol w:w="1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558"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一级指标</w:t>
            </w:r>
          </w:p>
        </w:tc>
        <w:tc>
          <w:tcPr>
            <w:tcW w:w="825"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二级</w:t>
            </w:r>
          </w:p>
          <w:p>
            <w:pPr>
              <w:widowControl/>
              <w:adjustRightInd w:val="0"/>
              <w:snapToGrid w:val="0"/>
              <w:jc w:val="center"/>
              <w:rPr>
                <w:rFonts w:ascii="方正书宋_GBK" w:eastAsia="方正书宋_GBK"/>
                <w:b/>
              </w:rPr>
            </w:pPr>
            <w:r>
              <w:rPr>
                <w:rFonts w:ascii="方正书宋_GBK" w:eastAsia="方正书宋_GBK"/>
                <w:b/>
              </w:rPr>
              <w:t>指标</w:t>
            </w:r>
          </w:p>
        </w:tc>
        <w:tc>
          <w:tcPr>
            <w:tcW w:w="89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三级</w:t>
            </w:r>
          </w:p>
          <w:p>
            <w:pPr>
              <w:widowControl/>
              <w:adjustRightInd w:val="0"/>
              <w:snapToGrid w:val="0"/>
              <w:jc w:val="center"/>
              <w:rPr>
                <w:rFonts w:ascii="方正书宋_GBK" w:eastAsia="方正书宋_GBK"/>
                <w:b/>
              </w:rPr>
            </w:pPr>
            <w:r>
              <w:rPr>
                <w:rFonts w:ascii="方正书宋_GBK" w:eastAsia="方正书宋_GBK"/>
                <w:b/>
              </w:rPr>
              <w:t>指标</w:t>
            </w:r>
          </w:p>
        </w:tc>
        <w:tc>
          <w:tcPr>
            <w:tcW w:w="2172"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评（扣）分标准</w:t>
            </w:r>
          </w:p>
        </w:tc>
        <w:tc>
          <w:tcPr>
            <w:tcW w:w="1483"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绩效指标</w:t>
            </w:r>
          </w:p>
          <w:p>
            <w:pPr>
              <w:widowControl/>
              <w:adjustRightInd w:val="0"/>
              <w:snapToGrid w:val="0"/>
              <w:jc w:val="center"/>
              <w:rPr>
                <w:rFonts w:ascii="方正书宋_GBK" w:eastAsia="方正书宋_GBK"/>
                <w:b/>
              </w:rPr>
            </w:pPr>
            <w:r>
              <w:rPr>
                <w:rFonts w:ascii="方正书宋_GBK" w:eastAsia="方正书宋_GBK"/>
                <w:b/>
              </w:rPr>
              <w:t>描述</w:t>
            </w:r>
          </w:p>
        </w:tc>
        <w:tc>
          <w:tcPr>
            <w:tcW w:w="1604" w:type="dxa"/>
            <w:gridSpan w:val="3"/>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tc>
        <w:tc>
          <w:tcPr>
            <w:tcW w:w="127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p>
            <w:pPr>
              <w:widowControl/>
              <w:adjustRightInd w:val="0"/>
              <w:snapToGrid w:val="0"/>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558" w:type="dxa"/>
            <w:vMerge w:val="continue"/>
            <w:tcBorders>
              <w:tl2br w:val="nil"/>
              <w:tr2bl w:val="nil"/>
            </w:tcBorders>
            <w:vAlign w:val="center"/>
          </w:tcPr>
          <w:p/>
        </w:tc>
        <w:tc>
          <w:tcPr>
            <w:tcW w:w="825" w:type="dxa"/>
            <w:vMerge w:val="continue"/>
            <w:tcBorders>
              <w:tl2br w:val="nil"/>
              <w:tr2bl w:val="nil"/>
            </w:tcBorders>
            <w:vAlign w:val="center"/>
          </w:tcPr>
          <w:p/>
        </w:tc>
        <w:tc>
          <w:tcPr>
            <w:tcW w:w="897" w:type="dxa"/>
            <w:vMerge w:val="continue"/>
            <w:tcBorders>
              <w:tl2br w:val="nil"/>
              <w:tr2bl w:val="nil"/>
            </w:tcBorders>
            <w:vAlign w:val="center"/>
          </w:tcPr>
          <w:p/>
        </w:tc>
        <w:tc>
          <w:tcPr>
            <w:tcW w:w="2172" w:type="dxa"/>
            <w:vMerge w:val="continue"/>
            <w:tcBorders>
              <w:tl2br w:val="nil"/>
              <w:tr2bl w:val="nil"/>
            </w:tcBorders>
            <w:vAlign w:val="center"/>
          </w:tcPr>
          <w:p/>
        </w:tc>
        <w:tc>
          <w:tcPr>
            <w:tcW w:w="1483" w:type="dxa"/>
            <w:vMerge w:val="continue"/>
            <w:tcBorders>
              <w:tl2br w:val="nil"/>
              <w:tr2bl w:val="nil"/>
            </w:tcBorders>
            <w:vAlign w:val="center"/>
          </w:tcPr>
          <w:p/>
        </w:tc>
        <w:tc>
          <w:tcPr>
            <w:tcW w:w="543"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符号</w:t>
            </w:r>
          </w:p>
        </w:tc>
        <w:tc>
          <w:tcPr>
            <w:tcW w:w="488"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值</w:t>
            </w:r>
          </w:p>
        </w:tc>
        <w:tc>
          <w:tcPr>
            <w:tcW w:w="573"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单位</w:t>
            </w:r>
          </w:p>
        </w:tc>
        <w:tc>
          <w:tcPr>
            <w:tcW w:w="1277" w:type="dxa"/>
            <w:vMerge w:val="continue"/>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558" w:type="dxa"/>
            <w:vMerge w:val="restart"/>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eastAsia="zh-CN"/>
              </w:rPr>
              <w:t>单位</w:t>
            </w:r>
            <w:r>
              <w:rPr>
                <w:rFonts w:ascii="方正书宋_GBK" w:eastAsia="方正书宋_GBK"/>
              </w:rPr>
              <w:t>产出</w:t>
            </w: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数量</w:t>
            </w:r>
          </w:p>
        </w:tc>
        <w:tc>
          <w:tcPr>
            <w:tcW w:w="897" w:type="dxa"/>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审计项目完成率</w:t>
            </w:r>
          </w:p>
        </w:tc>
        <w:tc>
          <w:tcPr>
            <w:tcW w:w="2172" w:type="dxa"/>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满分20分，实际值与目标值一致，得权重分值100%，每减少10%，扣减权重分值的10%</w:t>
            </w:r>
          </w:p>
        </w:tc>
        <w:tc>
          <w:tcPr>
            <w:tcW w:w="1483" w:type="dxa"/>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实际完成项目数占全年项目总数的比率</w:t>
            </w:r>
          </w:p>
        </w:tc>
        <w:tc>
          <w:tcPr>
            <w:tcW w:w="543" w:type="dxa"/>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w:t>
            </w:r>
          </w:p>
        </w:tc>
        <w:tc>
          <w:tcPr>
            <w:tcW w:w="488" w:type="dxa"/>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95</w:t>
            </w:r>
          </w:p>
        </w:tc>
        <w:tc>
          <w:tcPr>
            <w:tcW w:w="573" w:type="dxa"/>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w:t>
            </w:r>
          </w:p>
        </w:tc>
        <w:tc>
          <w:tcPr>
            <w:tcW w:w="1277" w:type="dxa"/>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保障全年审计项目完成率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质量</w:t>
            </w:r>
          </w:p>
        </w:tc>
        <w:tc>
          <w:tcPr>
            <w:tcW w:w="897" w:type="dxa"/>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运转保证率</w:t>
            </w:r>
          </w:p>
        </w:tc>
        <w:tc>
          <w:tcPr>
            <w:tcW w:w="2172" w:type="dxa"/>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满分20分，实际值与目标值一致，得权重分值100%，不一致不得分。</w:t>
            </w:r>
          </w:p>
        </w:tc>
        <w:tc>
          <w:tcPr>
            <w:tcW w:w="1483" w:type="dxa"/>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日常工作运转保障率</w:t>
            </w:r>
          </w:p>
        </w:tc>
        <w:tc>
          <w:tcPr>
            <w:tcW w:w="543" w:type="dxa"/>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w:t>
            </w:r>
          </w:p>
        </w:tc>
        <w:tc>
          <w:tcPr>
            <w:tcW w:w="488" w:type="dxa"/>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95</w:t>
            </w:r>
          </w:p>
        </w:tc>
        <w:tc>
          <w:tcPr>
            <w:tcW w:w="573" w:type="dxa"/>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w:t>
            </w:r>
          </w:p>
        </w:tc>
        <w:tc>
          <w:tcPr>
            <w:tcW w:w="1277" w:type="dxa"/>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维持工作正常运转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时效</w:t>
            </w:r>
          </w:p>
        </w:tc>
        <w:tc>
          <w:tcPr>
            <w:tcW w:w="897" w:type="dxa"/>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经费保障及时性</w:t>
            </w:r>
          </w:p>
        </w:tc>
        <w:tc>
          <w:tcPr>
            <w:tcW w:w="2172" w:type="dxa"/>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满分10分，实际值与目标值一致，得权重分值100%，不一致不得分。</w:t>
            </w:r>
          </w:p>
        </w:tc>
        <w:tc>
          <w:tcPr>
            <w:tcW w:w="1483" w:type="dxa"/>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及时保障各项办公需要</w:t>
            </w:r>
          </w:p>
        </w:tc>
        <w:tc>
          <w:tcPr>
            <w:tcW w:w="543" w:type="dxa"/>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文字描述</w:t>
            </w:r>
          </w:p>
        </w:tc>
        <w:tc>
          <w:tcPr>
            <w:tcW w:w="488" w:type="dxa"/>
            <w:tcBorders>
              <w:tl2br w:val="nil"/>
              <w:tr2bl w:val="nil"/>
            </w:tcBorders>
            <w:vAlign w:val="center"/>
          </w:tcPr>
          <w:p>
            <w:pPr>
              <w:widowControl/>
              <w:adjustRightInd w:val="0"/>
              <w:snapToGrid w:val="0"/>
              <w:jc w:val="center"/>
              <w:rPr>
                <w:rFonts w:hint="eastAsia" w:ascii="仿宋_GB2312" w:hAnsi="仿宋_GB2312" w:eastAsia="仿宋_GB2312" w:cs="仿宋_GB2312"/>
              </w:rPr>
            </w:pPr>
          </w:p>
        </w:tc>
        <w:tc>
          <w:tcPr>
            <w:tcW w:w="573" w:type="dxa"/>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 xml:space="preserve">及时保障 </w:t>
            </w:r>
          </w:p>
        </w:tc>
        <w:tc>
          <w:tcPr>
            <w:tcW w:w="1277" w:type="dxa"/>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及时保障各项办公需要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成本</w:t>
            </w:r>
          </w:p>
        </w:tc>
        <w:tc>
          <w:tcPr>
            <w:tcW w:w="897" w:type="dxa"/>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成本控制</w:t>
            </w:r>
          </w:p>
        </w:tc>
        <w:tc>
          <w:tcPr>
            <w:tcW w:w="2172" w:type="dxa"/>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满分10分，实际值与目标值一致，得权重分值100%，每减少10%，扣减权重分值的10%</w:t>
            </w:r>
          </w:p>
        </w:tc>
        <w:tc>
          <w:tcPr>
            <w:tcW w:w="1483" w:type="dxa"/>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严格控制各项费用</w:t>
            </w:r>
          </w:p>
        </w:tc>
        <w:tc>
          <w:tcPr>
            <w:tcW w:w="543" w:type="dxa"/>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文字描述</w:t>
            </w:r>
          </w:p>
        </w:tc>
        <w:tc>
          <w:tcPr>
            <w:tcW w:w="488" w:type="dxa"/>
            <w:tcBorders>
              <w:tl2br w:val="nil"/>
              <w:tr2bl w:val="nil"/>
            </w:tcBorders>
            <w:vAlign w:val="center"/>
          </w:tcPr>
          <w:p>
            <w:pPr>
              <w:widowControl/>
              <w:adjustRightInd w:val="0"/>
              <w:snapToGrid w:val="0"/>
              <w:jc w:val="center"/>
              <w:rPr>
                <w:rFonts w:hint="eastAsia" w:ascii="仿宋_GB2312" w:hAnsi="仿宋_GB2312" w:eastAsia="仿宋_GB2312" w:cs="仿宋_GB2312"/>
              </w:rPr>
            </w:pPr>
          </w:p>
        </w:tc>
        <w:tc>
          <w:tcPr>
            <w:tcW w:w="573" w:type="dxa"/>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严格控制费用开支</w:t>
            </w:r>
          </w:p>
        </w:tc>
        <w:tc>
          <w:tcPr>
            <w:tcW w:w="1277" w:type="dxa"/>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年初预算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restart"/>
            <w:tcBorders>
              <w:tl2br w:val="nil"/>
              <w:tr2bl w:val="nil"/>
            </w:tcBorders>
            <w:vAlign w:val="center"/>
          </w:tcPr>
          <w:p>
            <w:pPr>
              <w:adjustRightInd w:val="0"/>
              <w:snapToGrid w:val="0"/>
              <w:jc w:val="center"/>
              <w:rPr>
                <w:rFonts w:ascii="方正书宋_GBK" w:eastAsia="方正书宋_GBK"/>
              </w:rPr>
            </w:pPr>
            <w:r>
              <w:rPr>
                <w:rFonts w:hint="eastAsia" w:ascii="方正书宋_GBK" w:eastAsia="方正书宋_GBK"/>
                <w:lang w:eastAsia="zh-CN"/>
              </w:rPr>
              <w:t>单位</w:t>
            </w:r>
            <w:r>
              <w:rPr>
                <w:rFonts w:hint="eastAsia" w:ascii="方正书宋_GBK" w:eastAsia="方正书宋_GBK"/>
              </w:rPr>
              <w:t>效果</w:t>
            </w: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社会</w:t>
            </w:r>
          </w:p>
          <w:p>
            <w:pPr>
              <w:widowControl/>
              <w:adjustRightInd w:val="0"/>
              <w:snapToGrid w:val="0"/>
              <w:jc w:val="center"/>
              <w:rPr>
                <w:rFonts w:ascii="方正书宋_GBK" w:eastAsia="方正书宋_GBK"/>
              </w:rPr>
            </w:pPr>
            <w:r>
              <w:rPr>
                <w:rFonts w:ascii="方正书宋_GBK" w:eastAsia="方正书宋_GBK"/>
              </w:rPr>
              <w:t>效益</w:t>
            </w:r>
          </w:p>
        </w:tc>
        <w:tc>
          <w:tcPr>
            <w:tcW w:w="897" w:type="dxa"/>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做好日常维护</w:t>
            </w:r>
          </w:p>
        </w:tc>
        <w:tc>
          <w:tcPr>
            <w:tcW w:w="2172" w:type="dxa"/>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满分10分，实际值与目标值一致，得权重分值100%，每减少10%，扣减权重分值的10%。</w:t>
            </w:r>
          </w:p>
        </w:tc>
        <w:tc>
          <w:tcPr>
            <w:tcW w:w="1483" w:type="dxa"/>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做好日常维护</w:t>
            </w:r>
          </w:p>
        </w:tc>
        <w:tc>
          <w:tcPr>
            <w:tcW w:w="543" w:type="dxa"/>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文字描述</w:t>
            </w:r>
          </w:p>
        </w:tc>
        <w:tc>
          <w:tcPr>
            <w:tcW w:w="488" w:type="dxa"/>
            <w:tcBorders>
              <w:tl2br w:val="nil"/>
              <w:tr2bl w:val="nil"/>
            </w:tcBorders>
            <w:vAlign w:val="center"/>
          </w:tcPr>
          <w:p>
            <w:pPr>
              <w:widowControl/>
              <w:adjustRightInd w:val="0"/>
              <w:snapToGrid w:val="0"/>
              <w:jc w:val="center"/>
              <w:rPr>
                <w:rFonts w:hint="eastAsia" w:ascii="仿宋_GB2312" w:hAnsi="仿宋_GB2312" w:eastAsia="仿宋_GB2312" w:cs="仿宋_GB2312"/>
              </w:rPr>
            </w:pPr>
          </w:p>
        </w:tc>
        <w:tc>
          <w:tcPr>
            <w:tcW w:w="573" w:type="dxa"/>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做好日常维护</w:t>
            </w:r>
          </w:p>
        </w:tc>
        <w:tc>
          <w:tcPr>
            <w:tcW w:w="1277" w:type="dxa"/>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维持正常运转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70"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adjustRightInd w:val="0"/>
              <w:snapToGrid w:val="0"/>
              <w:jc w:val="center"/>
              <w:rPr>
                <w:rFonts w:ascii="方正书宋_GBK" w:eastAsia="方正书宋_GBK"/>
              </w:rPr>
            </w:pPr>
            <w:r>
              <w:rPr>
                <w:rFonts w:hint="eastAsia" w:ascii="方正书宋_GBK" w:eastAsia="方正书宋_GBK"/>
              </w:rPr>
              <w:t>可持续影响</w:t>
            </w:r>
          </w:p>
        </w:tc>
        <w:tc>
          <w:tcPr>
            <w:tcW w:w="897" w:type="dxa"/>
            <w:tcBorders>
              <w:tl2br w:val="nil"/>
              <w:tr2bl w:val="nil"/>
            </w:tcBorders>
            <w:noWrap/>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促进被审计单位财务规范，提升财政资金使用效益</w:t>
            </w:r>
          </w:p>
        </w:tc>
        <w:tc>
          <w:tcPr>
            <w:tcW w:w="2172" w:type="dxa"/>
            <w:tcBorders>
              <w:tl2br w:val="nil"/>
              <w:tr2bl w:val="nil"/>
            </w:tcBorders>
            <w:noWrap/>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满分10分，实际值与目标值一致，得权重分值100%，不一致不得分</w:t>
            </w:r>
          </w:p>
        </w:tc>
        <w:tc>
          <w:tcPr>
            <w:tcW w:w="1483" w:type="dxa"/>
            <w:tcBorders>
              <w:tl2br w:val="nil"/>
              <w:tr2bl w:val="nil"/>
            </w:tcBorders>
            <w:noWrap/>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促进被审计单位财务规范，提升财政资金使用效益</w:t>
            </w:r>
          </w:p>
        </w:tc>
        <w:tc>
          <w:tcPr>
            <w:tcW w:w="543" w:type="dxa"/>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文字描述</w:t>
            </w:r>
          </w:p>
        </w:tc>
        <w:tc>
          <w:tcPr>
            <w:tcW w:w="488" w:type="dxa"/>
            <w:tcBorders>
              <w:tl2br w:val="nil"/>
              <w:tr2bl w:val="nil"/>
            </w:tcBorders>
            <w:vAlign w:val="center"/>
          </w:tcPr>
          <w:p>
            <w:pPr>
              <w:widowControl/>
              <w:adjustRightInd w:val="0"/>
              <w:snapToGrid w:val="0"/>
              <w:jc w:val="center"/>
              <w:rPr>
                <w:rFonts w:hint="eastAsia" w:ascii="仿宋_GB2312" w:hAnsi="仿宋_GB2312" w:eastAsia="仿宋_GB2312" w:cs="仿宋_GB2312"/>
              </w:rPr>
            </w:pPr>
          </w:p>
        </w:tc>
        <w:tc>
          <w:tcPr>
            <w:tcW w:w="573" w:type="dxa"/>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提升</w:t>
            </w:r>
          </w:p>
        </w:tc>
        <w:tc>
          <w:tcPr>
            <w:tcW w:w="1277" w:type="dxa"/>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促进被审计单位财务规范，提升财政资金使用效益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满意度</w:t>
            </w:r>
          </w:p>
        </w:tc>
        <w:tc>
          <w:tcPr>
            <w:tcW w:w="897" w:type="dxa"/>
            <w:tcBorders>
              <w:tl2br w:val="nil"/>
              <w:tr2bl w:val="nil"/>
            </w:tcBorders>
            <w:noWrap/>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被审计单位及机关工作人员的满意率</w:t>
            </w:r>
          </w:p>
        </w:tc>
        <w:tc>
          <w:tcPr>
            <w:tcW w:w="2172" w:type="dxa"/>
            <w:tcBorders>
              <w:tl2br w:val="nil"/>
              <w:tr2bl w:val="nil"/>
            </w:tcBorders>
            <w:noWrap/>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满分20分，实际值与目标值一致，得权重分值100%，每减少10%，扣减权重分值的10%。</w:t>
            </w:r>
          </w:p>
        </w:tc>
        <w:tc>
          <w:tcPr>
            <w:tcW w:w="1483" w:type="dxa"/>
            <w:tcBorders>
              <w:tl2br w:val="nil"/>
              <w:tr2bl w:val="nil"/>
            </w:tcBorders>
            <w:noWrap/>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被审计单位及机关工作人员的满意率</w:t>
            </w:r>
          </w:p>
        </w:tc>
        <w:tc>
          <w:tcPr>
            <w:tcW w:w="543" w:type="dxa"/>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w:t>
            </w:r>
          </w:p>
        </w:tc>
        <w:tc>
          <w:tcPr>
            <w:tcW w:w="488" w:type="dxa"/>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95</w:t>
            </w:r>
          </w:p>
        </w:tc>
        <w:tc>
          <w:tcPr>
            <w:tcW w:w="573" w:type="dxa"/>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w:t>
            </w:r>
          </w:p>
        </w:tc>
        <w:tc>
          <w:tcPr>
            <w:tcW w:w="1277" w:type="dxa"/>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被审计单位及机关工作人员的满意率</w:t>
            </w:r>
          </w:p>
        </w:tc>
      </w:tr>
    </w:tbl>
    <w:p>
      <w:pPr>
        <w:spacing w:line="584" w:lineRule="exact"/>
        <w:rPr>
          <w:rFonts w:ascii="仿宋_GB2312" w:eastAsia="仿宋_GB2312" w:cs="Times New Roman"/>
          <w:sz w:val="32"/>
          <w:szCs w:val="32"/>
        </w:rPr>
      </w:pPr>
    </w:p>
    <w:p>
      <w:pPr>
        <w:spacing w:line="584" w:lineRule="exact"/>
        <w:ind w:firstLine="640" w:firstLineChars="200"/>
        <w:rPr>
          <w:rFonts w:hint="eastAsia" w:ascii="Times New Roman" w:hAnsi="Times New Roman" w:eastAsia="黑体" w:cs="Times New Roman"/>
          <w:sz w:val="32"/>
          <w:szCs w:val="32"/>
        </w:rPr>
      </w:pPr>
    </w:p>
    <w:p>
      <w:pPr>
        <w:spacing w:line="584" w:lineRule="exact"/>
        <w:ind w:firstLine="640" w:firstLineChars="200"/>
        <w:rPr>
          <w:rFonts w:hint="eastAsia" w:ascii="Times New Roman" w:hAnsi="Times New Roman" w:eastAsia="黑体" w:cs="Times New Roman"/>
          <w:sz w:val="32"/>
          <w:szCs w:val="32"/>
        </w:rPr>
      </w:pPr>
    </w:p>
    <w:p>
      <w:pPr>
        <w:spacing w:line="584" w:lineRule="exact"/>
        <w:ind w:firstLine="640" w:firstLineChars="200"/>
        <w:rPr>
          <w:rFonts w:hint="eastAsia" w:ascii="Times New Roman" w:hAnsi="Times New Roman" w:eastAsia="黑体" w:cs="Times New Roman"/>
          <w:sz w:val="32"/>
          <w:szCs w:val="32"/>
        </w:rPr>
      </w:pP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第二部分 资金绩效目标</w:t>
      </w: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w:t>
      </w:r>
      <w:r>
        <w:rPr>
          <w:rFonts w:hint="eastAsia" w:ascii="Times New Roman" w:hAnsi="Times New Roman" w:eastAsia="仿宋_GB2312" w:cs="Times New Roman"/>
          <w:sz w:val="28"/>
        </w:rPr>
        <w:t>审计事物经费</w:t>
      </w:r>
      <w:r>
        <w:rPr>
          <w:rFonts w:ascii="Times New Roman" w:hAnsi="Times New Roman" w:eastAsia="仿宋_GB2312" w:cs="Times New Roman"/>
          <w:sz w:val="28"/>
        </w:rPr>
        <w:t>绩效目标表</w:t>
      </w:r>
      <w:bookmarkStart w:id="0" w:name="_Toc29799657"/>
      <w:bookmarkEnd w:id="0"/>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val="0"/>
                <w:bCs/>
              </w:rPr>
            </w:pPr>
            <w:r>
              <w:rPr>
                <w:rFonts w:hint="eastAsia" w:ascii="Times New Roman" w:hAnsi="Times New Roman" w:eastAsia="仿宋_GB2312" w:cs="Times New Roman"/>
                <w:b w:val="0"/>
                <w:bCs/>
              </w:rPr>
              <w:t>维持机关正常运转，完成全年审计项目计划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数量指标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保障全年审计项目完成率</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按照年初审计项目计划，保障全年审计项目完成率</w:t>
            </w:r>
          </w:p>
        </w:tc>
        <w:tc>
          <w:tcPr>
            <w:tcW w:w="1843" w:type="dxa"/>
            <w:shd w:val="clear" w:color="auto" w:fill="auto"/>
            <w:vAlign w:val="center"/>
          </w:tcPr>
          <w:p>
            <w:pPr>
              <w:spacing w:line="300" w:lineRule="exact"/>
              <w:jc w:val="left"/>
              <w:rPr>
                <w:rFonts w:ascii="Times New Roman" w:hAnsi="Times New Roman" w:cs="Times New Roman" w:eastAsiaTheme="minorEastAsia"/>
              </w:rPr>
            </w:pPr>
            <w:r>
              <w:rPr>
                <w:rFonts w:hint="eastAsia" w:ascii="方正书宋_GBK" w:eastAsia="方正书宋_GBK"/>
              </w:rPr>
              <w:t>≥</w:t>
            </w:r>
            <w:r>
              <w:rPr>
                <w:rFonts w:hint="eastAsia" w:ascii="方正书宋_GBK" w:eastAsiaTheme="minorEastAsia"/>
              </w:rPr>
              <w:t>95%</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保障全年审计项目完成率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质量指标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运转保障率</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各项日常工作保障率</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w:t>
            </w:r>
            <w:r>
              <w:rPr>
                <w:rFonts w:hint="eastAsia" w:ascii="方正书宋_GBK" w:eastAsiaTheme="minorEastAsia"/>
              </w:rPr>
              <w:t>95%</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维持工作正常运转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时效指标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经费保障及时性</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及时保障各项办公需要</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及时保障</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及时保障各项办公需要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成本指标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成本控制</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严格控制各项费用</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严格控制</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年初预算数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社会效益指标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做好日常维护</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做好日常维护</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做好日常维护</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维持正常运转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可持续影响指标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促进被审计单位财务规范，提升财政资金使用效益</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促进被审计单位财务规范，提升财政资金使用效益</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提升</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促进被审计单位财务规范，提升财政资金使用效益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服务对象满意度</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被审计单位及机关工作人员的满意率</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被审计单位及机关工作人员的满意率</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w:t>
            </w:r>
            <w:r>
              <w:rPr>
                <w:rFonts w:hint="eastAsia" w:ascii="方正书宋_GBK" w:eastAsiaTheme="minorEastAsia"/>
              </w:rPr>
              <w:t>95%</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被审计单位及机关工作人员的满意率</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1"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w:t>
      </w:r>
      <w:r>
        <w:rPr>
          <w:rFonts w:ascii="Times New Roman" w:hAnsi="Times New Roman" w:eastAsia="仿宋_GB2312" w:cs="Times New Roman"/>
          <w:sz w:val="32"/>
          <w:szCs w:val="24"/>
        </w:rPr>
        <w:t>2年，我</w:t>
      </w:r>
      <w:r>
        <w:rPr>
          <w:rFonts w:hint="eastAsia" w:ascii="Times New Roman" w:hAnsi="Times New Roman" w:eastAsia="仿宋_GB2312" w:cs="Times New Roman"/>
          <w:sz w:val="32"/>
          <w:szCs w:val="24"/>
          <w:lang w:eastAsia="zh-CN"/>
        </w:rPr>
        <w:t>单位</w:t>
      </w:r>
      <w:r>
        <w:rPr>
          <w:rFonts w:ascii="Times New Roman" w:hAnsi="Times New Roman" w:eastAsia="仿宋_GB2312" w:cs="Times New Roman"/>
          <w:sz w:val="32"/>
          <w:szCs w:val="24"/>
        </w:rPr>
        <w:t>安排政府采购预算</w:t>
      </w:r>
      <w:r>
        <w:rPr>
          <w:rFonts w:hint="eastAsia" w:ascii="Times New Roman" w:hAnsi="Times New Roman" w:eastAsia="仿宋_GB2312" w:cs="Times New Roman"/>
          <w:sz w:val="32"/>
          <w:szCs w:val="24"/>
        </w:rPr>
        <w:t>0</w:t>
      </w:r>
      <w:r>
        <w:rPr>
          <w:rFonts w:ascii="Times New Roman" w:hAnsi="Times New Roman" w:eastAsia="仿宋_GB2312" w:cs="Times New Roman"/>
          <w:sz w:val="32"/>
          <w:szCs w:val="24"/>
        </w:rPr>
        <w:t>万元。具体内容见下表。</w:t>
      </w:r>
    </w:p>
    <w:bookmarkEnd w:id="1"/>
    <w:p>
      <w:pPr>
        <w:jc w:val="center"/>
        <w:outlineLvl w:val="1"/>
        <w:rPr>
          <w:rFonts w:ascii="方正小标宋_GBK" w:eastAsia="方正小标宋_GBK" w:cs="Times New Roman"/>
          <w:sz w:val="32"/>
        </w:rPr>
      </w:pPr>
      <w:bookmarkStart w:id="2" w:name="_Toc64920910"/>
      <w:r>
        <w:rPr>
          <w:rFonts w:hint="eastAsia" w:ascii="方正小标宋_GBK" w:eastAsia="方正小标宋_GBK" w:cs="Times New Roman"/>
          <w:sz w:val="32"/>
          <w:lang w:eastAsia="zh-CN"/>
        </w:rPr>
        <w:t>单位</w:t>
      </w:r>
      <w:r>
        <w:rPr>
          <w:rFonts w:hint="eastAsia" w:ascii="方正小标宋_GBK" w:eastAsia="方正小标宋_GBK" w:cs="Times New Roman"/>
          <w:sz w:val="32"/>
        </w:rPr>
        <w:t>政府采购预算</w:t>
      </w:r>
      <w:bookmarkEnd w:id="2"/>
    </w:p>
    <w:p>
      <w:pPr>
        <w:outlineLvl w:val="1"/>
        <w:rPr>
          <w:rFonts w:ascii="方正小标宋_GBK" w:eastAsia="方正小标宋_GBK" w:cs="Times New Roman"/>
          <w:sz w:val="32"/>
        </w:rPr>
      </w:pPr>
      <w:r>
        <w:rPr>
          <w:rFonts w:hint="eastAsia"/>
        </w:rPr>
        <w:t>廊坊市广阳区审计局</w:t>
      </w:r>
      <w:r>
        <w:t xml:space="preserve">                                                                                                         单位：万元</w:t>
      </w:r>
    </w:p>
    <w:tbl>
      <w:tblPr>
        <w:tblStyle w:val="8"/>
        <w:tblW w:w="1541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7"/>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061" w:type="dxa"/>
            <w:gridSpan w:val="2"/>
            <w:vAlign w:val="center"/>
          </w:tcPr>
          <w:p>
            <w:pPr>
              <w:pStyle w:val="12"/>
            </w:pPr>
            <w:r>
              <w:t>政府采购项目来源</w:t>
            </w:r>
          </w:p>
        </w:tc>
        <w:tc>
          <w:tcPr>
            <w:tcW w:w="1134" w:type="dxa"/>
            <w:vMerge w:val="restart"/>
            <w:vAlign w:val="center"/>
          </w:tcPr>
          <w:p>
            <w:pPr>
              <w:pStyle w:val="12"/>
            </w:pPr>
            <w:r>
              <w:t>采购物品名称</w:t>
            </w:r>
          </w:p>
        </w:tc>
        <w:tc>
          <w:tcPr>
            <w:tcW w:w="1134" w:type="dxa"/>
            <w:vMerge w:val="restart"/>
            <w:vAlign w:val="center"/>
          </w:tcPr>
          <w:p>
            <w:pPr>
              <w:pStyle w:val="12"/>
            </w:pPr>
            <w:r>
              <w:t>政府采购目录序号</w:t>
            </w:r>
          </w:p>
        </w:tc>
        <w:tc>
          <w:tcPr>
            <w:tcW w:w="709" w:type="dxa"/>
            <w:vMerge w:val="restart"/>
            <w:vAlign w:val="center"/>
          </w:tcPr>
          <w:p>
            <w:pPr>
              <w:pStyle w:val="12"/>
            </w:pPr>
            <w:r>
              <w:t>计量  单位</w:t>
            </w:r>
          </w:p>
        </w:tc>
        <w:tc>
          <w:tcPr>
            <w:tcW w:w="850" w:type="dxa"/>
            <w:vMerge w:val="restart"/>
            <w:vAlign w:val="center"/>
          </w:tcPr>
          <w:p>
            <w:pPr>
              <w:pStyle w:val="12"/>
            </w:pPr>
            <w:r>
              <w:t>数量</w:t>
            </w:r>
          </w:p>
        </w:tc>
        <w:tc>
          <w:tcPr>
            <w:tcW w:w="850" w:type="dxa"/>
            <w:vMerge w:val="restart"/>
            <w:vAlign w:val="center"/>
          </w:tcPr>
          <w:p>
            <w:pPr>
              <w:pStyle w:val="12"/>
            </w:pPr>
            <w:r>
              <w:t>单价</w:t>
            </w:r>
          </w:p>
        </w:tc>
        <w:tc>
          <w:tcPr>
            <w:tcW w:w="7712" w:type="dxa"/>
            <w:gridSpan w:val="8"/>
            <w:vAlign w:val="center"/>
          </w:tcPr>
          <w:p>
            <w:pPr>
              <w:pStyle w:val="12"/>
            </w:pPr>
            <w:r>
              <w:t>政府采购金额（当年</w:t>
            </w:r>
            <w:r>
              <w:rPr>
                <w:rFonts w:hint="eastAsia"/>
                <w:lang w:eastAsia="zh-CN"/>
              </w:rPr>
              <w:t>单位</w:t>
            </w:r>
            <w:r>
              <w:t>预算安排资金）</w:t>
            </w:r>
          </w:p>
        </w:tc>
        <w:tc>
          <w:tcPr>
            <w:tcW w:w="964" w:type="dxa"/>
            <w:vMerge w:val="restart"/>
            <w:vAlign w:val="center"/>
          </w:tcPr>
          <w:p>
            <w:pPr>
              <w:pStyle w:val="12"/>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097" w:type="dxa"/>
            <w:vAlign w:val="center"/>
          </w:tcPr>
          <w:p>
            <w:pPr>
              <w:pStyle w:val="12"/>
            </w:pPr>
            <w:r>
              <w:t>项目名称</w:t>
            </w:r>
          </w:p>
        </w:tc>
        <w:tc>
          <w:tcPr>
            <w:tcW w:w="964" w:type="dxa"/>
            <w:vAlign w:val="center"/>
          </w:tcPr>
          <w:p>
            <w:pPr>
              <w:pStyle w:val="12"/>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2"/>
            </w:pPr>
            <w:r>
              <w:t>合计</w:t>
            </w:r>
          </w:p>
        </w:tc>
        <w:tc>
          <w:tcPr>
            <w:tcW w:w="964" w:type="dxa"/>
            <w:vAlign w:val="center"/>
          </w:tcPr>
          <w:p>
            <w:pPr>
              <w:pStyle w:val="12"/>
            </w:pPr>
            <w:r>
              <w:t>一般公共预算拨款</w:t>
            </w:r>
          </w:p>
        </w:tc>
        <w:tc>
          <w:tcPr>
            <w:tcW w:w="964" w:type="dxa"/>
            <w:vAlign w:val="center"/>
          </w:tcPr>
          <w:p>
            <w:pPr>
              <w:pStyle w:val="12"/>
            </w:pPr>
            <w:r>
              <w:t>基金预算拨款</w:t>
            </w:r>
          </w:p>
        </w:tc>
        <w:tc>
          <w:tcPr>
            <w:tcW w:w="964" w:type="dxa"/>
            <w:vAlign w:val="center"/>
          </w:tcPr>
          <w:p>
            <w:pPr>
              <w:pStyle w:val="12"/>
            </w:pPr>
            <w:r>
              <w:t>国有资本经营预算拨款</w:t>
            </w:r>
          </w:p>
        </w:tc>
        <w:tc>
          <w:tcPr>
            <w:tcW w:w="964" w:type="dxa"/>
            <w:vAlign w:val="center"/>
          </w:tcPr>
          <w:p>
            <w:pPr>
              <w:pStyle w:val="12"/>
            </w:pPr>
            <w:r>
              <w:t>财政专户核拨</w:t>
            </w:r>
          </w:p>
        </w:tc>
        <w:tc>
          <w:tcPr>
            <w:tcW w:w="964" w:type="dxa"/>
            <w:vAlign w:val="center"/>
          </w:tcPr>
          <w:p>
            <w:pPr>
              <w:pStyle w:val="12"/>
            </w:pPr>
            <w:r>
              <w:t>单位    资金</w:t>
            </w:r>
          </w:p>
        </w:tc>
        <w:tc>
          <w:tcPr>
            <w:tcW w:w="964" w:type="dxa"/>
            <w:vAlign w:val="center"/>
          </w:tcPr>
          <w:p>
            <w:pPr>
              <w:pStyle w:val="12"/>
            </w:pPr>
            <w:r>
              <w:t>财政拨    款结转</w:t>
            </w:r>
          </w:p>
        </w:tc>
        <w:tc>
          <w:tcPr>
            <w:tcW w:w="964" w:type="dxa"/>
            <w:vAlign w:val="center"/>
          </w:tcPr>
          <w:p>
            <w:pPr>
              <w:pStyle w:val="12"/>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16"/>
            </w:pPr>
            <w:r>
              <w:t>合  计</w:t>
            </w:r>
          </w:p>
        </w:tc>
        <w:tc>
          <w:tcPr>
            <w:tcW w:w="964" w:type="dxa"/>
            <w:vAlign w:val="center"/>
          </w:tcPr>
          <w:p>
            <w:pPr>
              <w:pStyle w:val="17"/>
            </w:pPr>
          </w:p>
        </w:tc>
        <w:tc>
          <w:tcPr>
            <w:tcW w:w="1134" w:type="dxa"/>
            <w:vAlign w:val="center"/>
          </w:tcPr>
          <w:p>
            <w:pPr>
              <w:pStyle w:val="18"/>
            </w:pPr>
          </w:p>
        </w:tc>
        <w:tc>
          <w:tcPr>
            <w:tcW w:w="1134" w:type="dxa"/>
            <w:vAlign w:val="center"/>
          </w:tcPr>
          <w:p>
            <w:pPr>
              <w:pStyle w:val="18"/>
            </w:pPr>
          </w:p>
        </w:tc>
        <w:tc>
          <w:tcPr>
            <w:tcW w:w="709" w:type="dxa"/>
            <w:vAlign w:val="center"/>
          </w:tcPr>
          <w:p>
            <w:pPr>
              <w:pStyle w:val="16"/>
            </w:pPr>
          </w:p>
        </w:tc>
        <w:tc>
          <w:tcPr>
            <w:tcW w:w="850" w:type="dxa"/>
            <w:vAlign w:val="center"/>
          </w:tcPr>
          <w:p>
            <w:pPr>
              <w:pStyle w:val="17"/>
            </w:pPr>
          </w:p>
        </w:tc>
        <w:tc>
          <w:tcPr>
            <w:tcW w:w="850"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16"/>
            </w:pPr>
          </w:p>
        </w:tc>
        <w:tc>
          <w:tcPr>
            <w:tcW w:w="964" w:type="dxa"/>
            <w:vAlign w:val="center"/>
          </w:tcPr>
          <w:p>
            <w:pPr>
              <w:pStyle w:val="17"/>
            </w:pPr>
          </w:p>
        </w:tc>
        <w:tc>
          <w:tcPr>
            <w:tcW w:w="1134" w:type="dxa"/>
            <w:vAlign w:val="center"/>
          </w:tcPr>
          <w:p>
            <w:pPr>
              <w:pStyle w:val="18"/>
            </w:pPr>
          </w:p>
        </w:tc>
        <w:tc>
          <w:tcPr>
            <w:tcW w:w="1134" w:type="dxa"/>
            <w:vAlign w:val="center"/>
          </w:tcPr>
          <w:p>
            <w:pPr>
              <w:pStyle w:val="18"/>
            </w:pPr>
          </w:p>
        </w:tc>
        <w:tc>
          <w:tcPr>
            <w:tcW w:w="709" w:type="dxa"/>
            <w:vAlign w:val="center"/>
          </w:tcPr>
          <w:p>
            <w:pPr>
              <w:pStyle w:val="16"/>
            </w:pPr>
          </w:p>
        </w:tc>
        <w:tc>
          <w:tcPr>
            <w:tcW w:w="850" w:type="dxa"/>
            <w:vAlign w:val="center"/>
          </w:tcPr>
          <w:p>
            <w:pPr>
              <w:pStyle w:val="17"/>
            </w:pPr>
          </w:p>
        </w:tc>
        <w:tc>
          <w:tcPr>
            <w:tcW w:w="850"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r>
    </w:tbl>
    <w:p>
      <w:pPr>
        <w:spacing w:line="500" w:lineRule="exact"/>
        <w:ind w:firstLine="420"/>
        <w:rPr>
          <w:rFonts w:ascii="方正仿宋_GBK" w:hAnsi="方正仿宋_GBK" w:eastAsia="方正仿宋_GBK" w:cs="方正仿宋_GBK"/>
          <w:color w:val="000000"/>
        </w:rPr>
      </w:pPr>
      <w:r>
        <w:rPr>
          <w:rFonts w:ascii="方正仿宋_GBK" w:hAnsi="方正仿宋_GBK" w:eastAsia="方正仿宋_GBK" w:cs="方正仿宋_GBK"/>
          <w:color w:val="000000"/>
        </w:rPr>
        <w:t>注：同一采购目录序号的物品，其单价会因配置规格不同而变动，均符合资产配置标准。涉密采购事项按照相关规定执行。</w:t>
      </w:r>
    </w:p>
    <w:p>
      <w:pPr>
        <w:spacing w:line="500" w:lineRule="exact"/>
        <w:ind w:firstLine="420"/>
        <w:rPr>
          <w:rFonts w:ascii="方正仿宋_GBK" w:hAnsi="方正仿宋_GBK" w:eastAsia="方正仿宋_GBK" w:cs="方正仿宋_GBK"/>
          <w:color w:val="000000"/>
        </w:rPr>
      </w:pPr>
    </w:p>
    <w:p>
      <w:pPr>
        <w:spacing w:line="500" w:lineRule="exact"/>
        <w:ind w:firstLine="420"/>
        <w:rPr>
          <w:rFonts w:ascii="Times New Roman" w:hAnsi="Times New Roman" w:eastAsia="黑体" w:cs="Times New Roman"/>
          <w:sz w:val="32"/>
          <w:szCs w:val="32"/>
        </w:rPr>
      </w:pPr>
    </w:p>
    <w:p>
      <w:pPr>
        <w:spacing w:line="500" w:lineRule="exact"/>
        <w:ind w:firstLine="420"/>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廊坊市</w:t>
      </w:r>
      <w:r>
        <w:rPr>
          <w:rFonts w:hint="eastAsia" w:ascii="Times New Roman" w:hAnsi="Times New Roman" w:eastAsia="仿宋_GB2312" w:cs="Times New Roman"/>
          <w:sz w:val="32"/>
          <w:szCs w:val="32"/>
        </w:rPr>
        <w:t>广阳区审计局</w:t>
      </w:r>
      <w:r>
        <w:rPr>
          <w:rFonts w:ascii="Times New Roman" w:hAnsi="Times New Roman" w:eastAsia="仿宋_GB2312" w:cs="Times New Roman"/>
          <w:sz w:val="32"/>
          <w:szCs w:val="32"/>
        </w:rPr>
        <w:t>上年末固定资产金额为</w:t>
      </w:r>
      <w:r>
        <w:rPr>
          <w:rFonts w:hint="eastAsia" w:ascii="Times New Roman" w:hAnsi="Times New Roman" w:eastAsia="仿宋_GB2312" w:cs="Times New Roman"/>
          <w:sz w:val="32"/>
          <w:szCs w:val="32"/>
        </w:rPr>
        <w:t>76.61</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w:t>
      </w:r>
      <w:r>
        <w:rPr>
          <w:rFonts w:hint="eastAsia" w:ascii="Times New Roman" w:hAnsi="Times New Roman" w:eastAsia="仿宋_GB2312" w:cs="Times New Roman"/>
          <w:sz w:val="32"/>
          <w:szCs w:val="32"/>
          <w:lang w:eastAsia="zh-CN"/>
        </w:rPr>
        <w:t>单位</w:t>
      </w:r>
      <w:r>
        <w:rPr>
          <w:rFonts w:hint="eastAsia" w:ascii="Times New Roman" w:hAnsi="Times New Roman" w:eastAsia="仿宋_GB2312" w:cs="Times New Roman"/>
          <w:sz w:val="32"/>
          <w:szCs w:val="32"/>
        </w:rPr>
        <w:t>无</w:t>
      </w:r>
      <w:r>
        <w:rPr>
          <w:rFonts w:ascii="Times New Roman" w:hAnsi="Times New Roman" w:eastAsia="仿宋_GB2312" w:cs="Times New Roman"/>
          <w:sz w:val="32"/>
          <w:szCs w:val="32"/>
        </w:rPr>
        <w:t>拟购置固定资产</w:t>
      </w:r>
      <w:r>
        <w:rPr>
          <w:rFonts w:hint="eastAsia" w:ascii="Times New Roman" w:hAnsi="Times New Roman" w:eastAsia="仿宋_GB2312" w:cs="Times New Roman"/>
          <w:sz w:val="32"/>
          <w:szCs w:val="32"/>
        </w:rPr>
        <w:t>。</w:t>
      </w:r>
    </w:p>
    <w:tbl>
      <w:tblPr>
        <w:tblStyle w:val="8"/>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ascii="Times New Roman" w:hAnsi="Times New Roman" w:eastAsia="仿宋_GB2312" w:cs="Times New Roman"/>
                <w:b/>
                <w:bCs/>
                <w:kern w:val="0"/>
                <w:sz w:val="32"/>
                <w:szCs w:val="32"/>
              </w:rPr>
              <w:t>廊坊市</w:t>
            </w:r>
            <w:r>
              <w:rPr>
                <w:rFonts w:hint="eastAsia" w:ascii="Times New Roman" w:hAnsi="Times New Roman" w:eastAsia="仿宋_GB2312" w:cs="Times New Roman"/>
                <w:b/>
                <w:bCs/>
                <w:kern w:val="0"/>
                <w:sz w:val="32"/>
                <w:szCs w:val="32"/>
              </w:rPr>
              <w:t>广阳区区</w:t>
            </w:r>
            <w:r>
              <w:rPr>
                <w:rFonts w:ascii="Times New Roman" w:hAnsi="Times New Roman" w:eastAsia="仿宋_GB2312" w:cs="Times New Roman"/>
                <w:b/>
                <w:bCs/>
                <w:kern w:val="0"/>
                <w:sz w:val="32"/>
                <w:szCs w:val="32"/>
              </w:rPr>
              <w:t>直</w:t>
            </w:r>
            <w:r>
              <w:rPr>
                <w:rFonts w:hint="eastAsia" w:ascii="Times New Roman" w:hAnsi="Times New Roman" w:eastAsia="仿宋_GB2312" w:cs="Times New Roman"/>
                <w:b/>
                <w:bCs/>
                <w:kern w:val="0"/>
                <w:sz w:val="32"/>
                <w:szCs w:val="32"/>
                <w:lang w:eastAsia="zh-CN"/>
              </w:rPr>
              <w:t>单位</w:t>
            </w:r>
            <w:r>
              <w:rPr>
                <w:rFonts w:ascii="Times New Roman" w:hAnsi="Times New Roman" w:eastAsia="仿宋_GB2312" w:cs="Times New Roman"/>
                <w:b/>
                <w:bCs/>
                <w:kern w:val="0"/>
                <w:sz w:val="32"/>
                <w:szCs w:val="32"/>
              </w:rPr>
              <w:t>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w:t>
            </w:r>
            <w:r>
              <w:rPr>
                <w:rFonts w:hint="eastAsia" w:ascii="Times New Roman" w:hAnsi="Times New Roman" w:eastAsia="仿宋_GB2312" w:cs="Times New Roman"/>
                <w:kern w:val="0"/>
                <w:sz w:val="22"/>
                <w:lang w:eastAsia="zh-CN"/>
              </w:rPr>
              <w:t>单位</w:t>
            </w:r>
            <w:r>
              <w:rPr>
                <w:rFonts w:ascii="Times New Roman" w:hAnsi="Times New Roman" w:eastAsia="仿宋_GB2312" w:cs="Times New Roman"/>
                <w:kern w:val="0"/>
                <w:sz w:val="22"/>
              </w:rPr>
              <w:t>：廊坊市</w:t>
            </w:r>
            <w:r>
              <w:rPr>
                <w:rFonts w:hint="eastAsia" w:ascii="Times New Roman" w:hAnsi="Times New Roman" w:eastAsia="仿宋_GB2312" w:cs="Times New Roman"/>
                <w:kern w:val="0"/>
                <w:sz w:val="22"/>
              </w:rPr>
              <w:t>广阳区审计局</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w:t>
            </w:r>
            <w:r>
              <w:rPr>
                <w:rFonts w:ascii="Times New Roman" w:hAnsi="Times New Roman" w:eastAsia="仿宋_GB2312" w:cs="Times New Roman"/>
                <w:kern w:val="0"/>
                <w:sz w:val="22"/>
              </w:rPr>
              <w:t xml:space="preserve">1年12月31日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76.61</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17.9</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58.71</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无其他需要说明的事项。</w:t>
      </w:r>
    </w:p>
    <w:sectPr>
      <w:headerReference r:id="rId5" w:type="first"/>
      <w:footerReference r:id="rId8" w:type="first"/>
      <w:headerReference r:id="rId3" w:type="default"/>
      <w:footerReference r:id="rId6" w:type="default"/>
      <w:headerReference r:id="rId4" w:type="even"/>
      <w:footerReference r:id="rId7" w:type="even"/>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9226017C-5C4C-4B52-A402-DBAF19D43823}"/>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书宋_GBK">
    <w:altName w:val="微软雅黑"/>
    <w:panose1 w:val="00000000000000000000"/>
    <w:charset w:val="86"/>
    <w:family w:val="roman"/>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embedRegular r:id="rId2" w:fontKey="{12C80EF5-4DD2-4C31-8B89-B86AD7FC713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方正仿宋_GBK">
    <w:panose1 w:val="02000000000000000000"/>
    <w:charset w:val="86"/>
    <w:family w:val="script"/>
    <w:pitch w:val="default"/>
    <w:sig w:usb0="A00002BF" w:usb1="38CF7CFA" w:usb2="00082016" w:usb3="00000000" w:csb0="00040001" w:csb1="00000000"/>
    <w:embedRegular r:id="rId3" w:fontKey="{8F11C284-1B03-40D6-8A63-3162BBA84B7E}"/>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6</w:t>
    </w:r>
    <w:r>
      <w:rPr>
        <w:lang w:val="zh-CN"/>
      </w:rPr>
      <w:fldChar w:fldCharType="end"/>
    </w:r>
    <w:r>
      <w:rPr>
        <w:rFonts w:hint="eastAsia"/>
      </w:rPr>
      <w:t>-</w:t>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g1MzJjNTBhNGFmZWFjOWNkNzBiMDRhNDMxMDgwZTEifQ=="/>
  </w:docVars>
  <w:rsids>
    <w:rsidRoot w:val="00D347CC"/>
    <w:rsid w:val="000230E6"/>
    <w:rsid w:val="000F6018"/>
    <w:rsid w:val="001A7E29"/>
    <w:rsid w:val="001C47D0"/>
    <w:rsid w:val="00206B71"/>
    <w:rsid w:val="0025632D"/>
    <w:rsid w:val="00293E02"/>
    <w:rsid w:val="002A0D3F"/>
    <w:rsid w:val="002A2BF9"/>
    <w:rsid w:val="002B6A97"/>
    <w:rsid w:val="002C2E49"/>
    <w:rsid w:val="002C4F69"/>
    <w:rsid w:val="002E0500"/>
    <w:rsid w:val="003059E0"/>
    <w:rsid w:val="003923BF"/>
    <w:rsid w:val="004A54AA"/>
    <w:rsid w:val="004C7891"/>
    <w:rsid w:val="004E34D2"/>
    <w:rsid w:val="00600056"/>
    <w:rsid w:val="006056DD"/>
    <w:rsid w:val="006F3FE4"/>
    <w:rsid w:val="007E2D5E"/>
    <w:rsid w:val="008445BD"/>
    <w:rsid w:val="00944233"/>
    <w:rsid w:val="009449FF"/>
    <w:rsid w:val="00964D8D"/>
    <w:rsid w:val="00A73064"/>
    <w:rsid w:val="00B40732"/>
    <w:rsid w:val="00B80935"/>
    <w:rsid w:val="00B927B9"/>
    <w:rsid w:val="00C82949"/>
    <w:rsid w:val="00CA54BA"/>
    <w:rsid w:val="00D347CC"/>
    <w:rsid w:val="00DC72B4"/>
    <w:rsid w:val="00E171E8"/>
    <w:rsid w:val="00EE57B5"/>
    <w:rsid w:val="00EF0DE0"/>
    <w:rsid w:val="00FC50C7"/>
    <w:rsid w:val="02FC0B6D"/>
    <w:rsid w:val="0CEC1180"/>
    <w:rsid w:val="130B496F"/>
    <w:rsid w:val="3E145674"/>
    <w:rsid w:val="4046386E"/>
    <w:rsid w:val="517B670A"/>
    <w:rsid w:val="61B975BD"/>
    <w:rsid w:val="6D464494"/>
    <w:rsid w:val="73693C55"/>
    <w:rsid w:val="75310738"/>
    <w:rsid w:val="7C097E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0"/>
    <w:rPr>
      <w:rFonts w:ascii="Times New Roman" w:hAnsi="Times New Roman" w:cs="Times New Roman"/>
      <w:szCs w:val="24"/>
    </w:rPr>
  </w:style>
  <w:style w:type="paragraph" w:styleId="6">
    <w:name w:val="footnote text"/>
    <w:basedOn w:val="1"/>
    <w:qFormat/>
    <w:uiPriority w:val="0"/>
    <w:pPr>
      <w:snapToGrid w:val="0"/>
      <w:jc w:val="left"/>
    </w:pPr>
    <w:rPr>
      <w:rFonts w:cs="Times New Roman"/>
      <w:sz w:val="18"/>
      <w:szCs w:val="18"/>
    </w:rPr>
  </w:style>
  <w:style w:type="paragraph" w:styleId="7">
    <w:name w:val="toc 2"/>
    <w:basedOn w:val="1"/>
    <w:next w:val="1"/>
    <w:qFormat/>
    <w:uiPriority w:val="0"/>
    <w:pPr>
      <w:ind w:left="200" w:leftChars="200"/>
    </w:pPr>
    <w:rPr>
      <w:rFonts w:ascii="Times New Roman" w:hAnsi="Times New Roman" w:cs="Times New Roman"/>
      <w:szCs w:val="24"/>
    </w:rPr>
  </w:style>
  <w:style w:type="character" w:styleId="10">
    <w:name w:val="footnote reference"/>
    <w:qFormat/>
    <w:uiPriority w:val="0"/>
    <w:rPr>
      <w:vertAlign w:val="superscript"/>
    </w:rPr>
  </w:style>
  <w:style w:type="paragraph" w:customStyle="1" w:styleId="11">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2">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3">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14">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15">
    <w:name w:val="单元格样式3"/>
    <w:basedOn w:val="1"/>
    <w:qFormat/>
    <w:uiPriority w:val="0"/>
    <w:pPr>
      <w:widowControl/>
      <w:jc w:val="center"/>
    </w:pPr>
    <w:rPr>
      <w:rFonts w:ascii="方正书宋_GBK" w:hAnsi="方正书宋_GBK" w:eastAsia="方正书宋_GBK" w:cs="方正书宋_GBK"/>
      <w:kern w:val="0"/>
      <w:szCs w:val="24"/>
      <w:lang w:eastAsia="uk-UA"/>
    </w:rPr>
  </w:style>
  <w:style w:type="paragraph" w:customStyle="1" w:styleId="16">
    <w:name w:val="单元格样式6"/>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7">
    <w:name w:val="单元格样式7"/>
    <w:basedOn w:val="1"/>
    <w:qFormat/>
    <w:uiPriority w:val="0"/>
    <w:pPr>
      <w:widowControl/>
      <w:jc w:val="right"/>
    </w:pPr>
    <w:rPr>
      <w:rFonts w:ascii="方正书宋_GBK" w:hAnsi="方正书宋_GBK" w:eastAsia="方正书宋_GBK" w:cs="方正书宋_GBK"/>
      <w:b/>
      <w:kern w:val="0"/>
      <w:szCs w:val="24"/>
      <w:lang w:eastAsia="uk-UA"/>
    </w:rPr>
  </w:style>
  <w:style w:type="paragraph" w:customStyle="1" w:styleId="18">
    <w:name w:val="单元格样式5"/>
    <w:basedOn w:val="1"/>
    <w:qFormat/>
    <w:uiPriority w:val="0"/>
    <w:pPr>
      <w:widowControl/>
      <w:jc w:val="left"/>
    </w:pPr>
    <w:rPr>
      <w:rFonts w:ascii="方正书宋_GBK" w:hAnsi="方正书宋_GBK" w:eastAsia="方正书宋_GBK" w:cs="方正书宋_GBK"/>
      <w:b/>
      <w:kern w:val="0"/>
      <w:szCs w:val="24"/>
      <w:lang w:eastAsia="uk-UA"/>
    </w:rPr>
  </w:style>
  <w:style w:type="paragraph" w:customStyle="1" w:styleId="19">
    <w:name w:val="Normal (Web)1"/>
    <w:next w:val="3"/>
    <w:qFormat/>
    <w:uiPriority w:val="0"/>
    <w:pPr>
      <w:widowControl w:val="0"/>
    </w:pPr>
    <w:rPr>
      <w:rFonts w:ascii="Calibri" w:hAnsi="Calibri" w:eastAsia="宋体" w:cs="黑体"/>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15</Pages>
  <Words>948</Words>
  <Characters>5408</Characters>
  <Lines>45</Lines>
  <Paragraphs>12</Paragraphs>
  <TotalTime>11664</TotalTime>
  <ScaleCrop>false</ScaleCrop>
  <LinksUpToDate>false</LinksUpToDate>
  <CharactersWithSpaces>6344</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CXL</cp:lastModifiedBy>
  <cp:lastPrinted>2018-01-30T06:12:00Z</cp:lastPrinted>
  <dcterms:modified xsi:type="dcterms:W3CDTF">2023-08-01T04:44:44Z</dcterms:modified>
  <cp:revision>107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C81603D311924CB180CFA39E00103802</vt:lpwstr>
  </property>
</Properties>
</file>