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6"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新开路街道办事处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bookmarkEnd w:id="6"/>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廊坊市广阳区新开路街道办事处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hint="eastAsia" w:ascii="Times New Roman" w:hAnsi="Times New Roman" w:eastAsia="楷体_GB2312" w:cs="Times New Roman"/>
          <w:b/>
          <w:sz w:val="32"/>
          <w:szCs w:val="32"/>
        </w:rPr>
        <w:t>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根据《廊坊市广阳区新开路路街道办事处职能配置、内设机构和人员编制规定》， 廊坊市广阳区新开路街道办事处的主要职责是：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一、党政综合办公室：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1.负责监督检查和指导所属单位和行政村的档案工作。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2.做好信访工作，畅通信访渠道、处理来信、接待来访。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二、党建工作办公室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负责乡镇和街道党（工）委自身建设和基层党组织建设，以及其他隶属乡镇和街道党（工）委的党组织建设。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负责下级党的基层组织选举工作、对下级党组织的成立或撤销作出决定。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负责非公有制企业和社会组织党建工作、扩大新兴领域党建有效覆盖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加强党员队伍建设，对党员进行教育、管理、监督和服务，做好经常性的发展党员工作。加强流动党员管理。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做好人才服务工作，发现、培养、推荐党员和群众中的优秀人才。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落实统一战线工作任务要求，做好民族事务工作。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领导辖区内人大工作，以及工会、共青团、妇联等工作。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根据委托授权负责本辖区内的宗教事务管理工作。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依照法定权限，做好本辖区的征兵、民兵、预备役、国防教育、国民经济动员、人民防空、国防交通、国防设施保护等工作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三、应急管理办公室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加强本辖区生产经营单位安全生产状况的监督检查、协助上级有关</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依法履行安全生产监督管理职责。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负责本辖区的消防工作、开展消防宣传、防火巡查、隐患查改。指导村（居）民委员会开展群众性的消防工作。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负责辖区防汛抗洪、抗旱等相关工作。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负责辖区防灾减灾等相关工作。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依法做好本辖区的突发事件应对工作，制定本级突发事件应急预案，组织开展应急演练。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四、自然资源和生态环境办公室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动员和组织社会力量参与土地调查工作。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按照职责分工负责辖区市容、村容和环境卫生、农村生活污水管理责任。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按照职责分工负责本辖区河湖的水资源保护、水域岸线管理、水污染防治、水环境治理等工作，协助上级人民政府及其有关</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做好地下水相关管理和监督工作。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根据本地区的实际，组织开展大气污染防治工作。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落实属地监管责任，做好禁止露天焚烧秸秆工作。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6．根据本地区的实际，组织开展扬尘污染防治工作。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按照职责分工做好“散乱污”企业综合整治工作。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按照职责分工和相关预案开展突发环境事件应急处置工作，按照有关规定向上级报告。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五、综合行政执法队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1.根据法律法规和省政府授权，承担综合行政执法工作。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2.协助有关</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查处传销行为。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3.加大信用信息归集应用力度，落实守信联合激励和失信联合惩戒制度、推进信用分级分类监管。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4.制定本辖区社会治安综合治理规划、检查、推动社会治安综合治理措施的落实，协调和督促有关</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开展法制宣传教育工作、调解各类纠纷。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7.承担民间纠纷调解相关工作。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8.协调有关</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做好未成年人的保护工作。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9.承担企业劳动争议调解相关工作。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11.负责社区戒毒、社区康复工作。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六、行政综合服务中心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1.负责指导居民委员会的换届选举工作。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2.指导村（居）民委员会建立健全各项自治制度，并予以备案。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3.按权限负责基层社区社会组织的分类指导和业务指导。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5.负责本辖区健康中国建设，健全实施健康中国行动领导推进工作机制，逐项抓好任务落实。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6.根据法律法规和省政府授权，承担行政审批服务工作。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7.开展就业政策宣传、就业援助等就业服务工作。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8.负责辖区内人口与计划生育工作。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9.组织开展全民健身活动，建立健全全民健身工作协调机制。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10.负责本辖区爱国卫生日常工作。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11.按权限开展社会救助工作。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12.按权限做好残疾人保障工作。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13.负责组织开展预防精神障碍发生、促进精神障碍患者康复等工作。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14.按照职责分工负责做好辖区城乡居民基本养老保险工作。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七、社区建设和物业监督管理办公室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2.负责指导辖区内业主大会的成立和业主委员会的选举工作。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3.按权限负责社区工作者的日常管理工作。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八、综合文化服务站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1.组织开展本辖区科普活动，宣传科学、文明的生产和生活方式。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2.负责本辖区综合文化站、新时代文明实践中心（所、站）建设和日常管理、实施免费开放。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九、退役军人服务站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廊坊市广阳区新开路街道办事出</w:t>
            </w:r>
          </w:p>
        </w:tc>
        <w:tc>
          <w:tcPr>
            <w:tcW w:w="1134"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行政</w:t>
            </w:r>
          </w:p>
        </w:tc>
        <w:tc>
          <w:tcPr>
            <w:tcW w:w="1276"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正科级</w:t>
            </w:r>
          </w:p>
        </w:tc>
        <w:tc>
          <w:tcPr>
            <w:tcW w:w="2902"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按照预算管理有关规定，目前我区</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预算的编制实行综合预算制度，即全部收入和支出都反映在预算中。廊坊市广阳区新开路机关的收支包含在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2913.85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2893.85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新开路街道办事处2022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2913.85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1835.89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1638.79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1077.96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2913.85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shd w:val="clear"/>
          <w:lang w:val="en-US" w:eastAsia="zh-CN"/>
        </w:rPr>
        <w:t>161.52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highlight w:val="none"/>
          <w:lang w:val="en-US" w:eastAsia="zh-CN"/>
        </w:rPr>
        <w:t>109.7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一般公共服务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highlight w:val="none"/>
          <w:lang w:val="en-US" w:eastAsia="zh-CN"/>
        </w:rPr>
        <w:t>51.82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公安及卫生健康</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年，我机关运行经费共计安排</w:t>
      </w:r>
      <w:r>
        <w:rPr>
          <w:rFonts w:hint="default" w:ascii="Times New Roman" w:hAnsi="Times New Roman" w:eastAsia="仿宋_GB2312" w:cs="Times New Roman"/>
          <w:sz w:val="32"/>
          <w:szCs w:val="32"/>
          <w:lang w:val="en-US" w:eastAsia="zh-CN"/>
        </w:rPr>
        <w:t>197.1</w:t>
      </w:r>
      <w:r>
        <w:rPr>
          <w:rFonts w:hint="default" w:ascii="Times New Roman" w:hAnsi="Times New Roman" w:eastAsia="仿宋_GB2312" w:cs="Times New Roman"/>
          <w:sz w:val="32"/>
          <w:szCs w:val="32"/>
        </w:rPr>
        <w:t>万元，主要用于新开路街道办事</w:t>
      </w:r>
      <w:r>
        <w:rPr>
          <w:rFonts w:hint="default"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cs="Times New Roman"/>
          <w:sz w:val="32"/>
          <w:szCs w:val="32"/>
        </w:rPr>
      </w:pPr>
      <w:r>
        <w:rPr>
          <w:rFonts w:hint="default" w:ascii="Times New Roman" w:hAnsi="Times New Roman" w:eastAsia="仿宋_GB2312" w:cs="Times New Roman"/>
          <w:sz w:val="32"/>
          <w:szCs w:val="32"/>
        </w:rPr>
        <w:t>2022年，我局财政拨款“三公”经费预算安排</w:t>
      </w:r>
      <w:r>
        <w:rPr>
          <w:rFonts w:hint="default" w:ascii="Times New Roman" w:hAnsi="Times New Roman" w:eastAsia="仿宋_GB2312" w:cs="Times New Roman"/>
          <w:sz w:val="32"/>
          <w:szCs w:val="32"/>
          <w:lang w:val="en-US" w:eastAsia="zh-CN"/>
        </w:rPr>
        <w:t>4.38</w:t>
      </w:r>
      <w:r>
        <w:rPr>
          <w:rFonts w:hint="default" w:ascii="Times New Roman" w:hAnsi="Times New Roman" w:eastAsia="仿宋_GB2312" w:cs="Times New Roman"/>
          <w:sz w:val="32"/>
          <w:szCs w:val="32"/>
        </w:rPr>
        <w:t>万元。其中，因公出国（境）费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万元；公务用车购置及运维费</w:t>
      </w:r>
      <w:r>
        <w:rPr>
          <w:rFonts w:hint="default" w:ascii="Times New Roman" w:hAnsi="Times New Roman" w:eastAsia="仿宋_GB2312" w:cs="Times New Roman"/>
          <w:sz w:val="32"/>
          <w:szCs w:val="32"/>
          <w:lang w:val="en-US" w:eastAsia="zh-CN"/>
        </w:rPr>
        <w:t>4.38</w:t>
      </w:r>
      <w:r>
        <w:rPr>
          <w:rFonts w:hint="default" w:ascii="Times New Roman" w:hAnsi="Times New Roman" w:eastAsia="仿宋_GB2312" w:cs="Times New Roman"/>
          <w:sz w:val="32"/>
          <w:szCs w:val="32"/>
        </w:rPr>
        <w:t>万元（其中：公务用车购置费为0万元，公务用车运维费0万元)；公务接待费0万元。与202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年相比持平。主要原因是我</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切实落实勤俭节约各项规定，无公务接待费支出。</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_GB2312" w:hAnsi="楷体_GB2312" w:eastAsia="楷体_GB2312" w:cs="楷体_GB2312"/>
          <w:b/>
          <w:bCs/>
          <w:sz w:val="32"/>
          <w:szCs w:val="32"/>
        </w:rPr>
      </w:pPr>
      <w:bookmarkStart w:id="0" w:name="_Toc_2_2_0000000001"/>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总体绩效目标</w:t>
      </w:r>
      <w:bookmarkEnd w:id="0"/>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新时代，新征程。2022年，新开路街道将抓住新机场兴建的宝贵历史机遇，创新思维方式，汇聚兴街富民力量，实现跨越大发展。力争将新开路街道建设成为开放、包容、宜居的生态新区。</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、加快项目建设，促进经济发展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、推进污染防治，确保质量达标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、提升服务水平，建设幸福街区</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_GB2312" w:hAnsi="楷体_GB2312" w:eastAsia="楷体_GB2312" w:cs="楷体_GB2312"/>
          <w:b/>
          <w:bCs/>
          <w:color w:val="000000"/>
          <w:sz w:val="32"/>
          <w:szCs w:val="32"/>
        </w:rPr>
      </w:pPr>
      <w:bookmarkStart w:id="1" w:name="_Toc_2_2_0000000002"/>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分项绩效目标</w:t>
      </w:r>
      <w:bookmarkEnd w:id="1"/>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、发展楼宇经济</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楼宇经济是街道城市经济发展的主抓手、主阵地，借助广阳腾讯成绩经济招商营商会客大厅设置在我辖区梅花易品大厦的东风，我们将通过设置楼宇信息员、楼宇企业服务中心等载体，着力引进总部企业、规上服务业、创意设计类等企业，不断优化楼宇企业业态结构，力争培育新的税收增长点，全力打造楼宇经济可持续发展新高地。</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、常抓疫情防控</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落实冬季疫情防控工作措施，常态化排查登记中高风险地区返雅人员，做好居家医疗观察和核酸检测。强化商场、酒店、学校、农贸市场、餐馆等重点区域的日常消毒和防控措施落实。</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、持续打好生态保卫战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加强网格化日常巡查，守牢生态底线。对重点行业、重点企业进行定期和不定期走访，建立巡查台账，对群众反映的环保问题及时调查处复。</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、维护社会稳定</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持续深化扫黑除恶专项斗争和人民调解，落实安全生产责任制，加强对企业、老旧小区、餐馆等重点区域消防、食品安全督查整治。加强应急救援处置能力建设,提高防灾减灾救灾能力。</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、提升城市管理水平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持续开展综合执法，巩固做好文明城市创建工作，重点抓违规占道经营，规范乱停乱放，加大市容环境清理力度，改善背街小巷、卫生死角脏、乱、差等顽固问题。</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_GB2312" w:hAnsi="楷体_GB2312" w:eastAsia="楷体_GB2312" w:cs="楷体_GB2312"/>
          <w:b/>
          <w:bCs/>
          <w:color w:val="000000"/>
          <w:sz w:val="32"/>
          <w:szCs w:val="32"/>
        </w:rPr>
      </w:pPr>
      <w:bookmarkStart w:id="2" w:name="_Toc_2_2_0000000003"/>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工作保障措施</w:t>
      </w:r>
      <w:bookmarkEnd w:id="2"/>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 xml:space="preserve"> 基层党建促提质。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w:t>
      </w:r>
      <w:r>
        <w:rPr>
          <w:rFonts w:hint="eastAsia" w:eastAsia="仿宋_GB2312" w:cs="Times New Roman"/>
          <w:kern w:val="2"/>
          <w:sz w:val="32"/>
          <w:szCs w:val="32"/>
          <w:lang w:val="en-US" w:eastAsia="zh-CN" w:bidi="ar-SA"/>
        </w:rPr>
        <w:t>单位</w:t>
      </w:r>
      <w:r>
        <w:rPr>
          <w:rFonts w:hint="default" w:ascii="Times New Roman" w:hAnsi="Times New Roman" w:eastAsia="仿宋_GB2312" w:cs="Times New Roman"/>
          <w:kern w:val="2"/>
          <w:sz w:val="32"/>
          <w:szCs w:val="32"/>
          <w:lang w:val="en-US" w:eastAsia="zh-CN" w:bidi="ar-SA"/>
        </w:rPr>
        <w:t>的监督作用，不断增强街居干部的纪律意识、责任意识和大局意识，坚决杜绝纪律</w:t>
      </w:r>
      <w:r>
        <w:rPr>
          <w:rFonts w:hint="eastAsia" w:eastAsia="仿宋_GB2312" w:cs="Times New Roman"/>
          <w:kern w:val="2"/>
          <w:sz w:val="32"/>
          <w:szCs w:val="32"/>
          <w:lang w:val="en-US" w:eastAsia="zh-CN" w:bidi="ar-SA"/>
        </w:rPr>
        <w:t>松弛</w:t>
      </w:r>
      <w:r>
        <w:rPr>
          <w:rFonts w:hint="default" w:ascii="Times New Roman" w:hAnsi="Times New Roman" w:eastAsia="仿宋_GB2312" w:cs="Times New Roman"/>
          <w:kern w:val="2"/>
          <w:sz w:val="32"/>
          <w:szCs w:val="32"/>
          <w:lang w:val="en-US" w:eastAsia="zh-CN" w:bidi="ar-SA"/>
        </w:rPr>
        <w:t>、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 xml:space="preserve"> 项目引建求突破。不断优化招商结构和投资环境，注重引进规模大、质量好的项目，特别是高端现代服务业项目，高科技、高附加值、高税收项目。加大重点项目的推进力度，找准联建户突破口，形成多</w:t>
      </w:r>
      <w:r>
        <w:rPr>
          <w:rFonts w:hint="eastAsia" w:eastAsia="仿宋_GB2312" w:cs="Times New Roman"/>
          <w:kern w:val="2"/>
          <w:sz w:val="32"/>
          <w:szCs w:val="32"/>
          <w:lang w:val="en-US" w:eastAsia="zh-CN" w:bidi="ar-SA"/>
        </w:rPr>
        <w:t>单位</w:t>
      </w:r>
      <w:r>
        <w:rPr>
          <w:rFonts w:hint="default" w:ascii="Times New Roman" w:hAnsi="Times New Roman" w:eastAsia="仿宋_GB2312" w:cs="Times New Roman"/>
          <w:kern w:val="2"/>
          <w:sz w:val="32"/>
          <w:szCs w:val="32"/>
          <w:lang w:val="en-US" w:eastAsia="zh-CN" w:bidi="ar-SA"/>
        </w:rPr>
        <w:t>执法合力，实现对土地和资源的有效利用，加快辖区土地的全面盘活，培育辖区经济增长点。</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 xml:space="preserve"> 社区创建增亮点。一是深化社区服务功能。紧紧围绕志愿者服务开展工作，进一步创新服务形式，以“特色专业志愿服务团队”建设为侧重点，细化服务方向，提高服务质量，不断开创新开路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17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 xml:space="preserve"> 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w:t>
      </w:r>
      <w:r>
        <w:rPr>
          <w:rFonts w:hint="eastAsia" w:eastAsia="仿宋_GB2312" w:cs="Times New Roman"/>
          <w:kern w:val="2"/>
          <w:sz w:val="32"/>
          <w:szCs w:val="32"/>
          <w:lang w:val="en-US" w:eastAsia="zh-CN" w:bidi="ar-SA"/>
        </w:rPr>
        <w:t>单位</w:t>
      </w:r>
      <w:r>
        <w:rPr>
          <w:rFonts w:hint="default" w:ascii="Times New Roman" w:hAnsi="Times New Roman" w:eastAsia="仿宋_GB2312" w:cs="Times New Roman"/>
          <w:kern w:val="2"/>
          <w:sz w:val="32"/>
          <w:szCs w:val="32"/>
          <w:lang w:val="en-US" w:eastAsia="zh-CN" w:bidi="ar-SA"/>
        </w:rPr>
        <w:t>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48"/>
        <w:gridCol w:w="914"/>
        <w:gridCol w:w="2542"/>
        <w:gridCol w:w="1972"/>
        <w:gridCol w:w="2962"/>
        <w:gridCol w:w="1068"/>
        <w:gridCol w:w="512"/>
        <w:gridCol w:w="912"/>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9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2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90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70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05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91"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0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96" w:type="pct"/>
            <w:vMerge w:val="continue"/>
            <w:tcBorders>
              <w:tl2br w:val="nil"/>
              <w:tr2bl w:val="nil"/>
            </w:tcBorders>
            <w:vAlign w:val="center"/>
          </w:tcPr>
          <w:p/>
        </w:tc>
        <w:tc>
          <w:tcPr>
            <w:tcW w:w="327" w:type="pct"/>
            <w:vMerge w:val="continue"/>
            <w:tcBorders>
              <w:tl2br w:val="nil"/>
              <w:tr2bl w:val="nil"/>
            </w:tcBorders>
            <w:vAlign w:val="center"/>
          </w:tcPr>
          <w:p/>
        </w:tc>
        <w:tc>
          <w:tcPr>
            <w:tcW w:w="909" w:type="pct"/>
            <w:vMerge w:val="continue"/>
            <w:tcBorders>
              <w:tl2br w:val="nil"/>
              <w:tr2bl w:val="nil"/>
            </w:tcBorders>
            <w:vAlign w:val="center"/>
          </w:tcPr>
          <w:p/>
        </w:tc>
        <w:tc>
          <w:tcPr>
            <w:tcW w:w="705" w:type="pct"/>
            <w:vMerge w:val="continue"/>
            <w:tcBorders>
              <w:tl2br w:val="nil"/>
              <w:tr2bl w:val="nil"/>
            </w:tcBorders>
            <w:vAlign w:val="center"/>
          </w:tcPr>
          <w:p/>
        </w:tc>
        <w:tc>
          <w:tcPr>
            <w:tcW w:w="1059" w:type="pct"/>
            <w:vMerge w:val="continue"/>
            <w:tcBorders>
              <w:tl2br w:val="nil"/>
              <w:tr2bl w:val="nil"/>
            </w:tcBorders>
            <w:vAlign w:val="center"/>
          </w:tcPr>
          <w:p/>
        </w:tc>
        <w:tc>
          <w:tcPr>
            <w:tcW w:w="38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83"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09"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96" w:type="pct"/>
            <w:vMerge w:val="restar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产出</w:t>
            </w: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数量</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考核人数</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按考核结果</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按计划应参加年终考核人数</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考核合格率</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6" w:type="pct"/>
            <w:vMerge w:val="continue"/>
            <w:tcBorders>
              <w:tl2br w:val="nil"/>
              <w:tr2bl w:val="nil"/>
            </w:tcBorders>
            <w:vAlign w:val="center"/>
          </w:tc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到位率</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按资金使用/发放情况</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社会保险补贴资金实际发放资金/应发放资金总额</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rPr>
                <w:rFonts w:hint="eastAsia" w:ascii="仿宋_GB2312" w:hAnsi="仿宋_GB2312" w:eastAsia="仿宋_GB2312" w:cs="仿宋_GB2312"/>
                <w:lang w:val="en-US" w:eastAsia="zh-CN"/>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rPr>
                <w:rFonts w:hint="eastAsia" w:ascii="仿宋_GB2312" w:hAnsi="仿宋_GB2312" w:eastAsia="仿宋_GB2312" w:cs="仿宋_GB2312"/>
                <w:lang w:val="en-US" w:eastAsia="zh-CN"/>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资产发放情况</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96" w:type="pct"/>
            <w:vMerge w:val="continue"/>
            <w:tcBorders>
              <w:tl2br w:val="nil"/>
              <w:tr2bl w:val="nil"/>
            </w:tcBorders>
            <w:vAlign w:val="center"/>
          </w:tc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时效</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补贴按时发放</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补贴按时发放</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社会保险补贴资金按要求实施进度支付</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按时发放</w:t>
            </w:r>
          </w:p>
          <w:p>
            <w:pPr>
              <w:widowControl/>
              <w:adjustRightInd w:val="0"/>
              <w:snapToGrid w:val="0"/>
              <w:rPr>
                <w:rFonts w:hint="eastAsia" w:ascii="仿宋_GB2312" w:hAnsi="仿宋_GB2312" w:eastAsia="仿宋_GB2312" w:cs="仿宋_GB2312"/>
              </w:rPr>
            </w:pP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补贴按时发放</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6" w:type="pct"/>
            <w:vMerge w:val="continue"/>
            <w:tcBorders>
              <w:tl2br w:val="nil"/>
              <w:tr2bl w:val="nil"/>
            </w:tcBorders>
            <w:vAlign w:val="center"/>
          </w:tc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成本控制情况</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历史成本</w:t>
            </w:r>
          </w:p>
          <w:p>
            <w:pPr>
              <w:widowControl/>
              <w:adjustRightInd w:val="0"/>
              <w:snapToGrid w:val="0"/>
              <w:rPr>
                <w:rFonts w:hint="eastAsia" w:ascii="仿宋_GB2312" w:hAnsi="仿宋_GB2312" w:eastAsia="仿宋_GB2312" w:cs="仿宋_GB2312"/>
              </w:rPr>
            </w:pP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历史成本</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6" w:type="pct"/>
            <w:vMerge w:val="restar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效果</w:t>
            </w: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效益</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抓工作实效，创新突破</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历史水平</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街区干部思想政治稳步提升</w:t>
            </w:r>
          </w:p>
          <w:p>
            <w:pPr>
              <w:widowControl/>
              <w:adjustRightInd w:val="0"/>
              <w:snapToGrid w:val="0"/>
              <w:rPr>
                <w:rFonts w:hint="eastAsia" w:ascii="仿宋_GB2312" w:hAnsi="仿宋_GB2312" w:eastAsia="仿宋_GB2312" w:cs="仿宋_GB2312"/>
              </w:rPr>
            </w:pP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街区干部思想政治稳步提升</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96" w:type="pct"/>
            <w:vMerge w:val="continue"/>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满意度</w:t>
            </w:r>
          </w:p>
        </w:tc>
        <w:tc>
          <w:tcPr>
            <w:tcW w:w="90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工作人员对办公条件满意度</w:t>
            </w:r>
          </w:p>
          <w:p>
            <w:pPr>
              <w:widowControl/>
              <w:adjustRightInd w:val="0"/>
              <w:snapToGrid w:val="0"/>
              <w:rPr>
                <w:rFonts w:hint="eastAsia" w:ascii="仿宋_GB2312" w:hAnsi="仿宋_GB2312" w:eastAsia="仿宋_GB2312" w:cs="仿宋_GB2312"/>
              </w:rPr>
            </w:pPr>
          </w:p>
        </w:tc>
        <w:tc>
          <w:tcPr>
            <w:tcW w:w="70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问卷调查</w:t>
            </w:r>
          </w:p>
          <w:p>
            <w:pPr>
              <w:widowControl/>
              <w:adjustRightInd w:val="0"/>
              <w:snapToGrid w:val="0"/>
              <w:rPr>
                <w:rFonts w:hint="eastAsia" w:ascii="仿宋_GB2312" w:hAnsi="仿宋_GB2312" w:eastAsia="仿宋_GB2312" w:cs="仿宋_GB2312"/>
              </w:rPr>
            </w:pPr>
          </w:p>
        </w:tc>
        <w:tc>
          <w:tcPr>
            <w:tcW w:w="105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机关工作人员对办公条件满意度</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0</w:t>
            </w:r>
          </w:p>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val="en-US" w:eastAsia="zh-CN"/>
              </w:rPr>
              <w:t>%</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机关工作人员满意</w:t>
            </w:r>
          </w:p>
          <w:p>
            <w:pPr>
              <w:widowControl/>
              <w:adjustRightInd w:val="0"/>
              <w:snapToGrid w:val="0"/>
              <w:rPr>
                <w:rFonts w:hint="eastAsia" w:ascii="仿宋_GB2312" w:hAnsi="仿宋_GB2312" w:eastAsia="仿宋_GB2312" w:cs="仿宋_GB2312"/>
              </w:rPr>
            </w:pP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sz w:val="28"/>
          <w:lang w:val="en-US" w:eastAsia="zh-CN"/>
        </w:rPr>
        <w:t>机关事务管理费</w:t>
      </w:r>
      <w:r>
        <w:rPr>
          <w:rFonts w:hint="eastAsia" w:ascii="仿宋_GB2312" w:hAnsi="仿宋_GB2312" w:eastAsia="仿宋_GB2312" w:cs="仿宋_GB2312"/>
          <w:sz w:val="28"/>
        </w:rPr>
        <w:t>（项目名称）绩效目标表</w:t>
      </w:r>
      <w:bookmarkStart w:id="3" w:name="_Toc29799657"/>
      <w:bookmarkEnd w:id="3"/>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≥1个</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规定时间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≤60万元/年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维持社区办公正常运转</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p>
        </w:tc>
        <w:tc>
          <w:tcPr>
            <w:tcW w:w="1985" w:type="dxa"/>
            <w:shd w:val="clear" w:color="auto" w:fill="auto"/>
            <w:vAlign w:val="center"/>
          </w:tcPr>
          <w:p>
            <w:pPr>
              <w:spacing w:line="300" w:lineRule="exact"/>
              <w:jc w:val="left"/>
              <w:rPr>
                <w:rFonts w:hint="eastAsia" w:ascii="仿宋_GB2312" w:hAnsi="仿宋_GB2312" w:eastAsia="仿宋_GB2312" w:cs="仿宋_GB2312"/>
              </w:rPr>
            </w:pPr>
          </w:p>
        </w:tc>
        <w:tc>
          <w:tcPr>
            <w:tcW w:w="3402" w:type="dxa"/>
            <w:shd w:val="clear" w:color="auto" w:fill="auto"/>
            <w:vAlign w:val="center"/>
          </w:tcPr>
          <w:p>
            <w:pPr>
              <w:spacing w:line="300" w:lineRule="exact"/>
              <w:jc w:val="left"/>
              <w:rPr>
                <w:rFonts w:hint="eastAsia" w:ascii="仿宋_GB2312" w:hAnsi="仿宋_GB2312" w:eastAsia="仿宋_GB2312" w:cs="仿宋_GB2312"/>
              </w:rPr>
            </w:pPr>
          </w:p>
        </w:tc>
        <w:tc>
          <w:tcPr>
            <w:tcW w:w="1843" w:type="dxa"/>
            <w:shd w:val="clear" w:color="auto" w:fill="auto"/>
            <w:vAlign w:val="center"/>
          </w:tcPr>
          <w:p>
            <w:pPr>
              <w:spacing w:line="300" w:lineRule="exact"/>
              <w:jc w:val="left"/>
              <w:rPr>
                <w:rFonts w:hint="eastAsia" w:ascii="仿宋_GB2312" w:hAnsi="仿宋_GB2312" w:eastAsia="仿宋_GB2312" w:cs="仿宋_GB2312"/>
              </w:rPr>
            </w:pPr>
          </w:p>
        </w:tc>
        <w:tc>
          <w:tcPr>
            <w:tcW w:w="2155" w:type="dxa"/>
            <w:shd w:val="clear" w:color="auto" w:fill="auto"/>
            <w:vAlign w:val="center"/>
          </w:tcPr>
          <w:p>
            <w:pPr>
              <w:spacing w:line="300" w:lineRule="exact"/>
              <w:jc w:val="lef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2.社区党组织服务群众专项经费[区级]（项目名称）绩效目标表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1301"/>
        <w:gridCol w:w="1880"/>
        <w:gridCol w:w="3271"/>
        <w:gridCol w:w="2114"/>
        <w:gridCol w:w="4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9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571"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1.进一步加强城市基层党建工作，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2.推动街道党工委聚焦主责主业</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3.集中精力抓党建、抓治理、抓服务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9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7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11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00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项目保障社区数</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按要求发放办公经费金额社区数量</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17个</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continue"/>
            <w:shd w:val="clear" w:color="auto" w:fill="auto"/>
            <w:vAlign w:val="center"/>
          </w:tcPr>
          <w:p>
            <w:pPr>
              <w:rPr>
                <w:rFonts w:hint="eastAsia" w:ascii="仿宋_GB2312" w:hAnsi="仿宋_GB2312" w:eastAsia="仿宋_GB2312" w:cs="仿宋_GB2312"/>
              </w:rPr>
            </w:pP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按要求使用经费的社区数量占总社区数量的比率</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continue"/>
            <w:shd w:val="clear" w:color="auto" w:fill="auto"/>
            <w:vAlign w:val="center"/>
          </w:tcPr>
          <w:p>
            <w:pPr>
              <w:rPr>
                <w:rFonts w:hint="eastAsia" w:ascii="仿宋_GB2312" w:hAnsi="仿宋_GB2312" w:eastAsia="仿宋_GB2312" w:cs="仿宋_GB2312"/>
              </w:rPr>
            </w:pP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按要求及时使用</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continue"/>
            <w:shd w:val="clear" w:color="auto" w:fill="auto"/>
            <w:vAlign w:val="center"/>
          </w:tcPr>
          <w:p>
            <w:pPr>
              <w:rPr>
                <w:rFonts w:hint="eastAsia" w:ascii="仿宋_GB2312" w:hAnsi="仿宋_GB2312" w:eastAsia="仿宋_GB2312" w:cs="仿宋_GB2312"/>
              </w:rPr>
            </w:pP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成本控制情况</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15万元/社区/年</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提升专业化服务水平</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增强党组织在群众中的影响力。</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显著提高</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群众对资金使用情况是否满意</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3.社区工作经费[区级]（项目名称）绩效目标表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6"/>
        <w:gridCol w:w="1572"/>
        <w:gridCol w:w="1988"/>
        <w:gridCol w:w="3307"/>
        <w:gridCol w:w="1844"/>
        <w:gridCol w:w="4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96"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1.加强和改进城市基层党的建设工作，强化社区工作经费保障能力</w:t>
            </w:r>
          </w:p>
          <w:p>
            <w:pPr>
              <w:pStyle w:val="14"/>
              <w:rPr>
                <w:rFonts w:hint="eastAsia" w:ascii="仿宋_GB2312" w:hAnsi="仿宋_GB2312" w:eastAsia="仿宋_GB2312" w:cs="仿宋_GB2312"/>
              </w:rPr>
            </w:pPr>
            <w:r>
              <w:rPr>
                <w:rFonts w:hint="eastAsia" w:ascii="仿宋_GB2312" w:hAnsi="仿宋_GB2312" w:eastAsia="仿宋_GB2312" w:cs="仿宋_GB2312"/>
              </w:rPr>
              <w:t>2.最大程度的保证社区工作正常有效运转</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3.促进社区各项公共事业的有序展开和建设。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7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0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1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项目保障社区数</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按要求发放办公经费金额社区数量</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17个</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continue"/>
            <w:shd w:val="clear" w:color="auto" w:fill="auto"/>
            <w:vAlign w:val="center"/>
          </w:tcPr>
          <w:p>
            <w:pPr>
              <w:rPr>
                <w:rFonts w:hint="eastAsia" w:ascii="仿宋_GB2312" w:hAnsi="仿宋_GB2312" w:eastAsia="仿宋_GB2312" w:cs="仿宋_GB2312"/>
              </w:rPr>
            </w:pP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按要求使用经费的社区数量占总社区数量的比率</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continue"/>
            <w:shd w:val="clear" w:color="auto" w:fill="auto"/>
            <w:vAlign w:val="center"/>
          </w:tcPr>
          <w:p>
            <w:pPr>
              <w:rPr>
                <w:rFonts w:hint="eastAsia" w:ascii="仿宋_GB2312" w:hAnsi="仿宋_GB2312" w:eastAsia="仿宋_GB2312" w:cs="仿宋_GB2312"/>
              </w:rPr>
            </w:pP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按要求及时使用</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continue"/>
            <w:shd w:val="clear" w:color="auto" w:fill="auto"/>
            <w:vAlign w:val="center"/>
          </w:tcPr>
          <w:p>
            <w:pPr>
              <w:rPr>
                <w:rFonts w:hint="eastAsia" w:ascii="仿宋_GB2312" w:hAnsi="仿宋_GB2312" w:eastAsia="仿宋_GB2312" w:cs="仿宋_GB2312"/>
              </w:rPr>
            </w:pP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成本控制情况</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15万元/社区/年</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提升专业化服务水平</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增强党组织在群众中的影响力。</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显著提高</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群众对资金使用情况是否满意</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4.社区楼门长工作经费（项目名称）绩效目标表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1.通过发放楼门长补贴，达到积极引导广大居民群众主动参与基层社会治理，切实发挥居民小区楼门长作用。</w:t>
            </w:r>
          </w:p>
          <w:p>
            <w:pPr>
              <w:pStyle w:val="14"/>
              <w:rPr>
                <w:rFonts w:hint="eastAsia" w:ascii="仿宋_GB2312" w:hAnsi="仿宋_GB2312" w:eastAsia="仿宋_GB2312" w:cs="仿宋_GB2312"/>
              </w:rPr>
            </w:pPr>
            <w:r>
              <w:rPr>
                <w:rFonts w:hint="eastAsia" w:ascii="仿宋_GB2312" w:hAnsi="仿宋_GB2312" w:eastAsia="仿宋_GB2312" w:cs="仿宋_GB2312"/>
              </w:rPr>
              <w:t>2.通过发放楼门长补贴，实现群众参与社区管理，提高社会管理服务效能</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3.进一步完善社区治理体系，提升基层党组织建设和管理服务水平。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补贴保障人数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680人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发放覆盖率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反映资金发放覆盖情况</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补贴保障人数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680人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有物业小区楼门长补贴标准</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有物业小区单元长补贴标准</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50元/月/人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200元/月/人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100元/月/人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提高楼门长工作积极性</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反应提高楼门长工作积极性程度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受补贴人员满意度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满意人员与总人数的比率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5.社区招聘人员经费[区级]（项目名称）绩效目标表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47"/>
        <w:gridCol w:w="2367"/>
        <w:gridCol w:w="3470"/>
        <w:gridCol w:w="1482"/>
        <w:gridCol w:w="4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4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1.按时按标准发放工资福利等，进一步增强干部职工得归属感，社区工作顺利开展，加强和完善社区治理，事关基层和谐稳定，</w:t>
            </w:r>
          </w:p>
          <w:p>
            <w:pPr>
              <w:pStyle w:val="14"/>
              <w:rPr>
                <w:rFonts w:hint="eastAsia" w:ascii="仿宋_GB2312" w:hAnsi="仿宋_GB2312" w:eastAsia="仿宋_GB2312" w:cs="仿宋_GB2312"/>
              </w:rPr>
            </w:pPr>
            <w:r>
              <w:rPr>
                <w:rFonts w:hint="eastAsia" w:ascii="仿宋_GB2312" w:hAnsi="仿宋_GB2312" w:eastAsia="仿宋_GB2312" w:cs="仿宋_GB2312"/>
              </w:rPr>
              <w:t>2.保持干部队伍相对稳定，保障办公正常运转，及时缴纳社会保险，确保人员稳定。</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4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6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7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8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07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保障人数</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保障人数</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≥106人</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工资的足额发放率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足额发放人数与总人数比率</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社会保险的申报率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保险申报人数与总人数比率</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工资及时发放率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工资发放的时效情况</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restart"/>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 </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社会保险及时缴纳率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社会保险缴纳的时效情况</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36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人均工资及保险成本</w:t>
            </w:r>
          </w:p>
        </w:tc>
        <w:tc>
          <w:tcPr>
            <w:tcW w:w="347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每人每月工资及保险平均数</w:t>
            </w:r>
          </w:p>
        </w:tc>
        <w:tc>
          <w:tcPr>
            <w:tcW w:w="148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≤3678.93元/月/人</w:t>
            </w:r>
          </w:p>
        </w:tc>
        <w:tc>
          <w:tcPr>
            <w:tcW w:w="407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社区工作水平有所提高</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通过按时按标准发放工资福利等，进一步增强干部职工得归属感，保持干部队伍相对稳定，保障办公正常运转，社区工作水平有所提高</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全面提高</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满意度指标</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社区聘用人员满意度</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满意人员与总人数的比率</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6.疫情防控无物业小区卡口人员经费（项目名称）绩效目标表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1.为了更好的落实疫情防控工作，广泛宣传，提升居民自我防范意识，群防群治</w:t>
            </w:r>
          </w:p>
          <w:p>
            <w:pPr>
              <w:pStyle w:val="14"/>
              <w:rPr>
                <w:rFonts w:hint="eastAsia" w:ascii="仿宋_GB2312" w:hAnsi="仿宋_GB2312" w:eastAsia="仿宋_GB2312" w:cs="仿宋_GB2312"/>
              </w:rPr>
            </w:pPr>
            <w:r>
              <w:rPr>
                <w:rFonts w:hint="eastAsia" w:ascii="仿宋_GB2312" w:hAnsi="仿宋_GB2312" w:eastAsia="仿宋_GB2312" w:cs="仿宋_GB2312"/>
              </w:rPr>
              <w:t>2.全天24小时加强卡口值守工作，封堵不必要通道，搭建值守帐篷，严格扫码测温登记，购置酒精、消毒液、口罩等防护用品，为工作人员提供疫情防护必要用口。</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3.达到“外防输入，内防反弹”工作目标保障辖区居民身体健康，实现了0例病例。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≥46个</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辖区出入口登记率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辖区出入口登记率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卡口执勤时间</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卡口执勤时间</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24小时</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人员经费</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人员经费</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400元/人/天</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小区出入口值守情况</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小区出入口值守情况</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24小时全天值守</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值守人员满意度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值守人员满意度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jc w:val="left"/>
        <w:outlineLvl w:val="1"/>
        <w:rPr>
          <w:rFonts w:ascii="方正小标宋_GBK" w:eastAsia="方正小标宋_GBK" w:cs="Times New Roman"/>
          <w:sz w:val="32"/>
        </w:rPr>
      </w:pPr>
      <w:r>
        <w:rPr>
          <w:rFonts w:hint="eastAsia"/>
          <w:lang w:val="en-US" w:eastAsia="zh-CN"/>
        </w:rPr>
        <w:t xml:space="preserve"> </w:t>
      </w:r>
      <w:r>
        <w:t>廊坊市</w:t>
      </w:r>
      <w:r>
        <w:rPr>
          <w:rFonts w:hint="eastAsia"/>
          <w:lang w:eastAsia="zh-CN"/>
        </w:rPr>
        <w:t>广阳区</w:t>
      </w:r>
      <w:r>
        <w:rPr>
          <w:rFonts w:hint="eastAsia"/>
          <w:lang w:val="en-US" w:eastAsia="zh-CN"/>
        </w:rPr>
        <w:t>新开路街道办事处</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新开路街道办事处</w:t>
      </w:r>
      <w:r>
        <w:rPr>
          <w:rFonts w:ascii="Times New Roman" w:hAnsi="Times New Roman" w:eastAsia="仿宋_GB2312" w:cs="Times New Roman"/>
          <w:sz w:val="32"/>
          <w:szCs w:val="32"/>
        </w:rPr>
        <w:t>（含所属单位）上年末固定资产金额为</w:t>
      </w:r>
      <w:r>
        <w:rPr>
          <w:rFonts w:hint="eastAsia" w:ascii="宋体" w:hAnsi="宋体"/>
          <w:color w:val="000000"/>
          <w:sz w:val="27"/>
        </w:rPr>
        <w:t>6466</w:t>
      </w:r>
      <w:r>
        <w:rPr>
          <w:rFonts w:hint="eastAsia" w:ascii="宋体" w:hAnsi="宋体"/>
          <w:color w:val="000000"/>
          <w:sz w:val="27"/>
          <w:lang w:val="en-US" w:eastAsia="zh-CN"/>
        </w:rPr>
        <w:t>.</w:t>
      </w:r>
      <w:r>
        <w:rPr>
          <w:rFonts w:hint="eastAsia" w:ascii="宋体" w:hAnsi="宋体"/>
          <w:color w:val="000000"/>
          <w:sz w:val="27"/>
        </w:rPr>
        <w:t>9</w:t>
      </w:r>
      <w:r>
        <w:rPr>
          <w:rFonts w:hint="eastAsia" w:ascii="宋体" w:hAnsi="宋体"/>
          <w:color w:val="000000"/>
          <w:sz w:val="27"/>
          <w:lang w:val="en-US" w:eastAsia="zh-CN"/>
        </w:rPr>
        <w:t>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新开路街道办事处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宋体" w:hAnsi="宋体"/>
                <w:color w:val="000000"/>
                <w:sz w:val="27"/>
              </w:rPr>
              <w:t>6466</w:t>
            </w:r>
            <w:r>
              <w:rPr>
                <w:rFonts w:hint="eastAsia" w:ascii="宋体" w:hAnsi="宋体"/>
                <w:color w:val="000000"/>
                <w:sz w:val="27"/>
                <w:lang w:val="en-US" w:eastAsia="zh-CN"/>
              </w:rPr>
              <w:t>.</w:t>
            </w:r>
            <w:r>
              <w:rPr>
                <w:rFonts w:hint="eastAsia" w:ascii="宋体" w:hAnsi="宋体"/>
                <w:color w:val="000000"/>
                <w:sz w:val="27"/>
              </w:rPr>
              <w:t>9</w:t>
            </w:r>
            <w:r>
              <w:rPr>
                <w:rFonts w:hint="eastAsia" w:ascii="宋体" w:hAnsi="宋体"/>
                <w:color w:val="000000"/>
                <w:sz w:val="27"/>
                <w:lang w:val="en-US" w:eastAsia="zh-CN"/>
              </w:rPr>
              <w:t>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ascii="宋体" w:hAnsi="宋体"/>
                <w:color w:val="000000"/>
                <w:sz w:val="27"/>
              </w:rPr>
              <w:t xml:space="preserve"> 348.04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宋体" w:hAnsi="宋体"/>
                <w:color w:val="000000"/>
                <w:sz w:val="27"/>
              </w:rPr>
              <w:t>448.07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宋体" w:hAnsi="宋体"/>
                <w:color w:val="000000"/>
                <w:sz w:val="27"/>
              </w:rPr>
              <w:t xml:space="preserve"> 348.04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宋体" w:hAnsi="宋体"/>
                <w:color w:val="000000"/>
                <w:sz w:val="27"/>
                <w:lang w:val="en-US" w:eastAsia="zh-CN"/>
              </w:rPr>
              <w:t>23.96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5954.9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3C725A5"/>
    <w:rsid w:val="06AC24BD"/>
    <w:rsid w:val="08837488"/>
    <w:rsid w:val="08DF079E"/>
    <w:rsid w:val="092A0DC1"/>
    <w:rsid w:val="0CEC1180"/>
    <w:rsid w:val="13892CFD"/>
    <w:rsid w:val="15CB510D"/>
    <w:rsid w:val="20044D10"/>
    <w:rsid w:val="291F75A2"/>
    <w:rsid w:val="30366092"/>
    <w:rsid w:val="3112773A"/>
    <w:rsid w:val="36465EAD"/>
    <w:rsid w:val="3B0274C7"/>
    <w:rsid w:val="3BF531A3"/>
    <w:rsid w:val="40557AB4"/>
    <w:rsid w:val="452F149F"/>
    <w:rsid w:val="455A2761"/>
    <w:rsid w:val="47F14986"/>
    <w:rsid w:val="4A180E3D"/>
    <w:rsid w:val="50E17CE7"/>
    <w:rsid w:val="55761960"/>
    <w:rsid w:val="632C4A2F"/>
    <w:rsid w:val="65A37C87"/>
    <w:rsid w:val="65ED52B5"/>
    <w:rsid w:val="66FD27F8"/>
    <w:rsid w:val="674A6ADF"/>
    <w:rsid w:val="6B07520F"/>
    <w:rsid w:val="6E4B44E0"/>
    <w:rsid w:val="6EAA4FB3"/>
    <w:rsid w:val="6F2579A9"/>
    <w:rsid w:val="72AA1E02"/>
    <w:rsid w:val="73693C55"/>
    <w:rsid w:val="749A53EE"/>
    <w:rsid w:val="7EF6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15</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2023-08-15T03:35:26Z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619C587150EA4AFAB0324019316D60CD</vt:lpwstr>
  </property>
</Properties>
</file>