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6" w:name="_GoBack"/>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新开路街道办事处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6"/>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廊坊市广阳区新开路街道办事处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hint="eastAsia"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根据《廊坊市广阳区新开路路街道办事处职能配置、内设机构和人员编制规定》， 廊坊市广阳区新开路街道办事处的主要职责是：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一、党政综合办公室：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1.负责监督检查和指导所属单位和行政村的档案工作。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2.做好信访工作，畅通信访渠道、处理来信、接待来访。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二、党建工作办公室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维护和执行党的纪律，监督党员干部和其他任何工作人员严格遵守国家法律法规。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负责乡镇和街道党（工）委自身建设和基层党组织建设，以及其他隶属乡镇和街道党（工）委的党组织建设。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负责下级党的基层组织选举工作、对下级党组织的成立或撤销作出决定。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负责非公有制企业和社会组织党建工作、扩大新兴领域党建有效覆盖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加强党员队伍建设，对党员进行教育、管理、监督和服务，做好经常性的发展党员工作。加强流动党员管理。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做好人才服务工作，发现、培养、推荐党员和群众中的优秀人才。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落实统一战线工作任务要求，做好民族事务工作。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 领导辖区内人大工作，以及工会、共青团、妇联等工作。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根据委托授权负责本辖区内的宗教事务管理工作。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依照法定权限，做好本辖区的征兵、民兵、预备役、国防教育、国民经济动员、人民防空、国防交通、国防设施保护等工作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三、应急管理办公室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加强本辖区生产经营单位安全生产状况的监督检查、协助上级有关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依法履行安全生产监督管理职责。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负责本辖区的消防工作、开展消防宣传、防火巡查、隐患查改。指导村（居）民委员会开展群众性的消防工作。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负责辖区防汛抗洪、抗旱等相关工作。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负责辖区防灾减灾等相关工作。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依法做好本辖区的突发事件应对工作，制定本级突发事件应急预案，组织开展应急演练。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四、自然资源和生态环境办公室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动员和组织社会力量参与土地调查工作。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按照职责分工负责辖区市容、村容和环境卫生、农村生活污水管理责任。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按照职责分工负责本辖区河湖的水资源保护、水域岸线管理、水污染防治、水环境治理等工作，协助上级人民政府及其有关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做好地下水相关管理和监督工作。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根据本地区的实际，组织开展大气污染防治工作。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落实属地监管责任，做好禁止露天焚烧秸秆工作。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6．根据本地区的实际，组织开展扬尘污染防治工作。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按照职责分工做好“散乱污”企业综合整治工作。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按照职责分工和相关预案开展突发环境事件应急处置工作，按照有关规定向上级报告。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五、综合行政执法队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1.根据法律法规和省政府授权，承担综合行政执法工作。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2.协助有关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查处传销行为。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3.加大信用信息归集应用力度，落实守信联合激励和失信联合惩戒制度、推进信用分级分类监管。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4.制定本辖区社会治安综合治理规划、检查、推动社会治安综合治理措施的落实，协调和督促有关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开展法制宣传教育工作、调解各类纠纷。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7.承担民间纠纷调解相关工作。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8.协调有关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做好未成年人的保护工作。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9.承担企业劳动争议调解相关工作。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11.负责社区戒毒、社区康复工作。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六、行政综合服务中心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1.负责指导居民委员会的换届选举工作。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2.指导村（居）民委员会建立健全各项自治制度，并予以备案。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3.按权限负责基层社区社会组织的分类指导和业务指导。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5.负责本辖区健康中国建设，健全实施健康中国行动领导推进工作机制，逐项抓好任务落实。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6.根据法律法规和省政府授权，承担行政审批服务工作。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7.开展就业政策宣传、就业援助等就业服务工作。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8.负责辖区内人口与计划生育工作。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9.组织开展全民健身活动，建立健全全民健身工作协调机制。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10.负责本辖区爱国卫生日常工作。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11.按权限开展社会救助工作。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12.按权限做好残疾人保障工作。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13.负责组织开展预防精神障碍发生、促进精神障碍患者康复等工作。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14.按照职责分工负责做好辖区城乡居民基本养老保险工作。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七、社区建设和物业监督管理办公室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2.负责指导辖区内业主大会的成立和业主委员会的选举工作。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3.按权限负责社区工作者的日常管理工作。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八、综合文化服务站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1.组织开展本辖区科普活动，宣传科学、文明的生产和生活方式。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2.负责本辖区综合文化站、新时代文明实践中心（所、站）建设和日常管理、实施免费开放。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九、退役军人服务站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廊坊市广阳区新开路街道办事出</w:t>
            </w:r>
          </w:p>
        </w:tc>
        <w:tc>
          <w:tcPr>
            <w:tcW w:w="1134"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行政</w:t>
            </w:r>
          </w:p>
        </w:tc>
        <w:tc>
          <w:tcPr>
            <w:tcW w:w="1276"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正科级</w:t>
            </w:r>
          </w:p>
        </w:tc>
        <w:tc>
          <w:tcPr>
            <w:tcW w:w="2902" w:type="dxa"/>
            <w:shd w:val="clear" w:color="auto" w:fill="auto"/>
            <w:vAlign w:val="center"/>
          </w:tcPr>
          <w:p>
            <w:pPr>
              <w:spacing w:line="584" w:lineRule="exact"/>
              <w:jc w:val="center"/>
              <w:rPr>
                <w:rFonts w:ascii="Times New Roman" w:hAnsi="Times New Roman" w:eastAsia="宋体" w:cs="Times New Roman"/>
                <w:b/>
                <w:kern w:val="2"/>
                <w:sz w:val="21"/>
                <w:szCs w:val="22"/>
                <w:lang w:val="en-US" w:eastAsia="zh-CN" w:bidi="ar-SA"/>
              </w:rPr>
            </w:pPr>
            <w:r>
              <w:rPr>
                <w:rFonts w:hint="eastAsia" w:ascii="宋体" w:hAnsi="宋体" w:cs="宋体"/>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按照预算管理有关规定，目前我区</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预算的编制实行综合预算制度，即全部收入和支出都反映在预算中。廊坊市广阳区新开路机关的收支包含在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2893.85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新开路街道办事处2022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1835.89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1638.79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1077.96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2913.85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shd w:val="clear"/>
          <w:lang w:val="en-US" w:eastAsia="zh-CN"/>
        </w:rPr>
        <w:t>161.52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109.7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一般公共服务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51.82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公安及卫生健康</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年，我机关运行经费共计安排</w:t>
      </w:r>
      <w:r>
        <w:rPr>
          <w:rFonts w:hint="default" w:ascii="Times New Roman" w:hAnsi="Times New Roman" w:eastAsia="仿宋_GB2312" w:cs="Times New Roman"/>
          <w:sz w:val="32"/>
          <w:szCs w:val="32"/>
          <w:lang w:val="en-US" w:eastAsia="zh-CN"/>
        </w:rPr>
        <w:t>197.1</w:t>
      </w:r>
      <w:r>
        <w:rPr>
          <w:rFonts w:hint="default" w:ascii="Times New Roman" w:hAnsi="Times New Roman" w:eastAsia="仿宋_GB2312" w:cs="Times New Roman"/>
          <w:sz w:val="32"/>
          <w:szCs w:val="32"/>
        </w:rPr>
        <w:t>万元，主要用于新开路街道办事</w:t>
      </w:r>
      <w:r>
        <w:rPr>
          <w:rFonts w:hint="default" w:ascii="Times New Roman" w:hAnsi="Times New Roman" w:eastAsia="仿宋_GB2312" w:cs="Times New Roman"/>
          <w:sz w:val="32"/>
          <w:szCs w:val="32"/>
          <w:lang w:val="en-US" w:eastAsia="zh-CN"/>
        </w:rPr>
        <w:t>处</w:t>
      </w:r>
      <w:r>
        <w:rPr>
          <w:rFonts w:hint="default"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cs="Times New Roman"/>
          <w:sz w:val="32"/>
          <w:szCs w:val="32"/>
        </w:rPr>
      </w:pPr>
      <w:r>
        <w:rPr>
          <w:rFonts w:hint="default" w:ascii="Times New Roman" w:hAnsi="Times New Roman" w:eastAsia="仿宋_GB2312" w:cs="Times New Roman"/>
          <w:sz w:val="32"/>
          <w:szCs w:val="32"/>
        </w:rPr>
        <w:t>2022年，我局财政拨款“三公”经费预算安排</w:t>
      </w:r>
      <w:r>
        <w:rPr>
          <w:rFonts w:hint="default" w:ascii="Times New Roman" w:hAnsi="Times New Roman" w:eastAsia="仿宋_GB2312" w:cs="Times New Roman"/>
          <w:sz w:val="32"/>
          <w:szCs w:val="32"/>
          <w:lang w:val="en-US" w:eastAsia="zh-CN"/>
        </w:rPr>
        <w:t>4.38</w:t>
      </w:r>
      <w:r>
        <w:rPr>
          <w:rFonts w:hint="default" w:ascii="Times New Roman" w:hAnsi="Times New Roman" w:eastAsia="仿宋_GB2312" w:cs="Times New Roman"/>
          <w:sz w:val="32"/>
          <w:szCs w:val="32"/>
        </w:rPr>
        <w:t>万元。其中，因公出国（境）费</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万元；公务用车购置及运维费</w:t>
      </w:r>
      <w:r>
        <w:rPr>
          <w:rFonts w:hint="default" w:ascii="Times New Roman" w:hAnsi="Times New Roman" w:eastAsia="仿宋_GB2312" w:cs="Times New Roman"/>
          <w:sz w:val="32"/>
          <w:szCs w:val="32"/>
          <w:lang w:val="en-US" w:eastAsia="zh-CN"/>
        </w:rPr>
        <w:t>4.38</w:t>
      </w:r>
      <w:r>
        <w:rPr>
          <w:rFonts w:hint="default" w:ascii="Times New Roman" w:hAnsi="Times New Roman" w:eastAsia="仿宋_GB2312" w:cs="Times New Roman"/>
          <w:sz w:val="32"/>
          <w:szCs w:val="32"/>
        </w:rPr>
        <w:t>万元（其中：公务用车购置费为0万元，公务用车运维费0万元)；公务接待费0万元。与202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年相比持平。主要原因是我</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切实落实勤俭节约各项规定，无公务接待费支出。</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sz w:val="32"/>
          <w:szCs w:val="32"/>
        </w:rPr>
      </w:pPr>
      <w:bookmarkStart w:id="0" w:name="_Toc_2_2_0000000001"/>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总体绩效目标</w:t>
      </w:r>
      <w:bookmarkEnd w:id="0"/>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新时代，新征程。2022年，新开路街道将抓住新机场兴建的宝贵历史机遇，创新思维方式，汇聚兴街富民力量，实现跨越大发展。力争将新开路街道建设成为开放、包容、宜居的生态新区。</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、加快项目建设，促进经济发展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、推进污染防治，确保质量达标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、提升服务水平，建设幸福街区</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color w:val="000000"/>
          <w:sz w:val="32"/>
          <w:szCs w:val="32"/>
        </w:rPr>
      </w:pPr>
      <w:bookmarkStart w:id="1" w:name="_Toc_2_2_0000000002"/>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分项绩效目标</w:t>
      </w:r>
      <w:bookmarkEnd w:id="1"/>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、发展楼宇经济</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楼宇经济是街道城市经济发展的主抓手、主阵地，借助广阳腾讯成绩经济招商营商会客大厅设置在我辖区梅花易品大厦的东风，我们将通过设置楼宇信息员、楼宇企业服务中心等载体，着力引进总部企业、规上服务业、创意设计类等企业，不断优化楼宇企业业态结构，力争培育新的税收增长点，全力打造楼宇经济可持续发展新高地。</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、常抓疫情防控</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落实冬季疫情防控工作措施，常态化排查登记中高风险地区返雅人员，做好居家医疗观察和核酸检测。强化商场、酒店、学校、农贸市场、餐馆等重点区域的日常消毒和防控措施落实。</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、持续打好生态保卫战</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加强网格化日常巡查，守牢生态底线。对重点行业、重点企业进行定期和不定期走访，建立巡查台账，对群众反映的环保问题及时调查处复。</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、维护社会稳定</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持续深化扫黑除恶专项斗争和人民调解，落实安全生产责任制，加强对企业、老旧小区、餐馆等重点区域消防、食品安全督查整治。加强应急救援处置能力建设,提高防灾减灾救灾能力。</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、提升城市管理水平</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持续开展综合执法，巩固做好文明城市创建工作，重点抓违规占道经营，规范乱停乱放，加大市容环境清理力度，改善背街小巷、卫生死角脏、乱、差等顽固问题。</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_GB2312" w:hAnsi="楷体_GB2312" w:eastAsia="楷体_GB2312" w:cs="楷体_GB2312"/>
          <w:b/>
          <w:bCs/>
          <w:color w:val="000000"/>
          <w:sz w:val="32"/>
          <w:szCs w:val="32"/>
        </w:rPr>
      </w:pPr>
      <w:bookmarkStart w:id="2" w:name="_Toc_2_2_0000000003"/>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工作保障措施</w:t>
      </w:r>
      <w:bookmarkEnd w:id="2"/>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 xml:space="preserve"> 基层党建促提质。一是在强化服务意识上下功夫。培养树立街道干部群众第一的理念，以求真务实的精神深入群众之中，体察民情、了解民意，为群众诚心诚意办实事、尽心尽力解难事、坚持不懈做好事。二是在提升综合素质上下功夫。加强街居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w:t>
      </w:r>
      <w:r>
        <w:rPr>
          <w:rFonts w:hint="eastAsia" w:eastAsia="仿宋_GB2312" w:cs="Times New Roman"/>
          <w:kern w:val="2"/>
          <w:sz w:val="32"/>
          <w:szCs w:val="32"/>
          <w:lang w:val="en-US" w:eastAsia="zh-CN" w:bidi="ar-SA"/>
        </w:rPr>
        <w:t>单位</w:t>
      </w:r>
      <w:r>
        <w:rPr>
          <w:rFonts w:hint="default" w:ascii="Times New Roman" w:hAnsi="Times New Roman" w:eastAsia="仿宋_GB2312" w:cs="Times New Roman"/>
          <w:kern w:val="2"/>
          <w:sz w:val="32"/>
          <w:szCs w:val="32"/>
          <w:lang w:val="en-US" w:eastAsia="zh-CN" w:bidi="ar-SA"/>
        </w:rPr>
        <w:t>的监督作用，不断增强街居干部的纪律意识、责任意识和大局意识，坚决杜绝纪律</w:t>
      </w:r>
      <w:r>
        <w:rPr>
          <w:rFonts w:hint="eastAsia" w:eastAsia="仿宋_GB2312" w:cs="Times New Roman"/>
          <w:kern w:val="2"/>
          <w:sz w:val="32"/>
          <w:szCs w:val="32"/>
          <w:lang w:val="en-US" w:eastAsia="zh-CN" w:bidi="ar-SA"/>
        </w:rPr>
        <w:t>松弛</w:t>
      </w:r>
      <w:r>
        <w:rPr>
          <w:rFonts w:hint="default" w:ascii="Times New Roman" w:hAnsi="Times New Roman" w:eastAsia="仿宋_GB2312" w:cs="Times New Roman"/>
          <w:kern w:val="2"/>
          <w:sz w:val="32"/>
          <w:szCs w:val="32"/>
          <w:lang w:val="en-US" w:eastAsia="zh-CN" w:bidi="ar-SA"/>
        </w:rPr>
        <w:t>、工作拖延、自由散漫等消极怠工现象，努力提高工作效率。四是在创新服务载体上下功夫。积极推广在职党员进社区、结对帮扶等做法，运用多种形式和手段开展服务；广泛开展以党员为骨干的各类志愿服务；充分调动广大群众自我管理、自我服务的积极性，构建以党组织为核心、全社会共同参与的服务格局。</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 xml:space="preserve"> 项目引建求突破。不断优化招商结构和投资环境，注重引进规模大、质量好的项目，特别是高端现代服务业项目，高科技、高附加值、高税收项目。加大重点项目的推进力度，找准联建户突破口，形成多</w:t>
      </w:r>
      <w:r>
        <w:rPr>
          <w:rFonts w:hint="eastAsia" w:eastAsia="仿宋_GB2312" w:cs="Times New Roman"/>
          <w:kern w:val="2"/>
          <w:sz w:val="32"/>
          <w:szCs w:val="32"/>
          <w:lang w:val="en-US" w:eastAsia="zh-CN" w:bidi="ar-SA"/>
        </w:rPr>
        <w:t>单位</w:t>
      </w:r>
      <w:r>
        <w:rPr>
          <w:rFonts w:hint="default" w:ascii="Times New Roman" w:hAnsi="Times New Roman" w:eastAsia="仿宋_GB2312" w:cs="Times New Roman"/>
          <w:kern w:val="2"/>
          <w:sz w:val="32"/>
          <w:szCs w:val="32"/>
          <w:lang w:val="en-US" w:eastAsia="zh-CN" w:bidi="ar-SA"/>
        </w:rPr>
        <w:t>执法合力，实现对土地和资源的有效利用，加快辖区土地的全面盘活，培育辖区经济增长点。</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 xml:space="preserve"> 社区创建增亮点。一是深化社区服务功能。紧紧围绕志愿者服务开展工作，进一步创新服务形式，以“特色专业志愿服务团队”建设为侧重点，细化服务方向，提高服务质量，不断开创新开路街道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17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 xml:space="preserve"> 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w:t>
      </w:r>
      <w:r>
        <w:rPr>
          <w:rFonts w:hint="eastAsia" w:eastAsia="仿宋_GB2312" w:cs="Times New Roman"/>
          <w:kern w:val="2"/>
          <w:sz w:val="32"/>
          <w:szCs w:val="32"/>
          <w:lang w:val="en-US" w:eastAsia="zh-CN" w:bidi="ar-SA"/>
        </w:rPr>
        <w:t>单位</w:t>
      </w:r>
      <w:r>
        <w:rPr>
          <w:rFonts w:hint="default" w:ascii="Times New Roman" w:hAnsi="Times New Roman" w:eastAsia="仿宋_GB2312" w:cs="Times New Roman"/>
          <w:kern w:val="2"/>
          <w:sz w:val="32"/>
          <w:szCs w:val="32"/>
          <w:lang w:val="en-US" w:eastAsia="zh-CN" w:bidi="ar-SA"/>
        </w:rPr>
        <w:t>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48"/>
        <w:gridCol w:w="914"/>
        <w:gridCol w:w="2542"/>
        <w:gridCol w:w="1972"/>
        <w:gridCol w:w="2962"/>
        <w:gridCol w:w="1068"/>
        <w:gridCol w:w="512"/>
        <w:gridCol w:w="91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9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2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0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70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5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891"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0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96" w:type="pct"/>
            <w:vMerge w:val="continue"/>
            <w:tcBorders>
              <w:tl2br w:val="nil"/>
              <w:tr2bl w:val="nil"/>
            </w:tcBorders>
            <w:vAlign w:val="center"/>
          </w:tcPr>
          <w:p/>
        </w:tc>
        <w:tc>
          <w:tcPr>
            <w:tcW w:w="327" w:type="pct"/>
            <w:vMerge w:val="continue"/>
            <w:tcBorders>
              <w:tl2br w:val="nil"/>
              <w:tr2bl w:val="nil"/>
            </w:tcBorders>
            <w:vAlign w:val="center"/>
          </w:tcPr>
          <w:p/>
        </w:tc>
        <w:tc>
          <w:tcPr>
            <w:tcW w:w="909" w:type="pct"/>
            <w:vMerge w:val="continue"/>
            <w:tcBorders>
              <w:tl2br w:val="nil"/>
              <w:tr2bl w:val="nil"/>
            </w:tcBorders>
            <w:vAlign w:val="center"/>
          </w:tcPr>
          <w:p/>
        </w:tc>
        <w:tc>
          <w:tcPr>
            <w:tcW w:w="705" w:type="pct"/>
            <w:vMerge w:val="continue"/>
            <w:tcBorders>
              <w:tl2br w:val="nil"/>
              <w:tr2bl w:val="nil"/>
            </w:tcBorders>
            <w:vAlign w:val="center"/>
          </w:tcPr>
          <w:p/>
        </w:tc>
        <w:tc>
          <w:tcPr>
            <w:tcW w:w="1059" w:type="pct"/>
            <w:vMerge w:val="continue"/>
            <w:tcBorders>
              <w:tl2br w:val="nil"/>
              <w:tr2bl w:val="nil"/>
            </w:tcBorders>
            <w:vAlign w:val="center"/>
          </w:tcPr>
          <w:p/>
        </w:tc>
        <w:tc>
          <w:tcPr>
            <w:tcW w:w="38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83"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09"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96" w:type="pct"/>
            <w:vMerge w:val="restar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产出</w:t>
            </w: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数量</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考核人数</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按考核结果</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按计划应参加年终考核人数</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考核合格率</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到位率</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按资金使用/发放情况</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社会保险补贴资金实际发放资金/应发放资金总额</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lang w:val="en-US" w:eastAsia="zh-CN"/>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p>
            <w:pPr>
              <w:widowControl/>
              <w:adjustRightInd w:val="0"/>
              <w:snapToGrid w:val="0"/>
              <w:rPr>
                <w:rFonts w:hint="eastAsia" w:ascii="仿宋_GB2312" w:hAnsi="仿宋_GB2312" w:eastAsia="仿宋_GB2312" w:cs="仿宋_GB2312"/>
                <w:lang w:val="en-US" w:eastAsia="zh-CN"/>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资产发放情况</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时效</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社会保险补贴资金按要求实施进度支付</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按时发放</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补贴按时发放</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continue"/>
            <w:tcBorders>
              <w:tl2br w:val="nil"/>
              <w:tr2bl w:val="nil"/>
            </w:tcBorders>
            <w:vAlign w:val="center"/>
          </w:tc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成本控制情况</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历史成本</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历史成本</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6" w:type="pct"/>
            <w:vMerge w:val="restar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效果</w:t>
            </w: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效益</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抓工作实效，创新突破</w:t>
            </w:r>
          </w:p>
          <w:p>
            <w:pPr>
              <w:widowControl/>
              <w:adjustRightInd w:val="0"/>
              <w:snapToGrid w:val="0"/>
              <w:rPr>
                <w:rFonts w:hint="eastAsia" w:ascii="仿宋_GB2312" w:hAnsi="仿宋_GB2312" w:eastAsia="仿宋_GB2312" w:cs="仿宋_GB2312"/>
              </w:rPr>
            </w:pPr>
          </w:p>
        </w:tc>
        <w:tc>
          <w:tcPr>
            <w:tcW w:w="70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05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历史水平</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文字描述</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街区干部思想政治稳步提升</w:t>
            </w:r>
          </w:p>
          <w:p>
            <w:pPr>
              <w:widowControl/>
              <w:adjustRightInd w:val="0"/>
              <w:snapToGrid w:val="0"/>
              <w:rPr>
                <w:rFonts w:hint="eastAsia" w:ascii="仿宋_GB2312" w:hAnsi="仿宋_GB2312" w:eastAsia="仿宋_GB2312" w:cs="仿宋_GB2312"/>
              </w:rPr>
            </w:pP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街区干部思想政治稳步提升</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96" w:type="pct"/>
            <w:vMerge w:val="continue"/>
            <w:tcBorders>
              <w:tl2br w:val="nil"/>
              <w:tr2bl w:val="nil"/>
            </w:tcBorders>
            <w:vAlign w:val="center"/>
          </w:tcPr>
          <w:p>
            <w:pPr>
              <w:widowControl/>
              <w:adjustRightInd w:val="0"/>
              <w:snapToGrid w:val="0"/>
              <w:rPr>
                <w:rFonts w:hint="eastAsia" w:ascii="仿宋_GB2312" w:hAnsi="仿宋_GB2312" w:eastAsia="仿宋_GB2312" w:cs="仿宋_GB2312"/>
              </w:rPr>
            </w:pPr>
          </w:p>
        </w:tc>
        <w:tc>
          <w:tcPr>
            <w:tcW w:w="3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满意度</w:t>
            </w:r>
          </w:p>
        </w:tc>
        <w:tc>
          <w:tcPr>
            <w:tcW w:w="90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工作人员对办公条件满意度</w:t>
            </w:r>
          </w:p>
          <w:p>
            <w:pPr>
              <w:widowControl/>
              <w:adjustRightInd w:val="0"/>
              <w:snapToGrid w:val="0"/>
              <w:rPr>
                <w:rFonts w:hint="eastAsia" w:ascii="仿宋_GB2312" w:hAnsi="仿宋_GB2312" w:eastAsia="仿宋_GB2312" w:cs="仿宋_GB2312"/>
              </w:rPr>
            </w:pPr>
          </w:p>
        </w:tc>
        <w:tc>
          <w:tcPr>
            <w:tcW w:w="70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问卷调查</w:t>
            </w:r>
          </w:p>
          <w:p>
            <w:pPr>
              <w:widowControl/>
              <w:adjustRightInd w:val="0"/>
              <w:snapToGrid w:val="0"/>
              <w:rPr>
                <w:rFonts w:hint="eastAsia" w:ascii="仿宋_GB2312" w:hAnsi="仿宋_GB2312" w:eastAsia="仿宋_GB2312" w:cs="仿宋_GB2312"/>
              </w:rPr>
            </w:pPr>
          </w:p>
        </w:tc>
        <w:tc>
          <w:tcPr>
            <w:tcW w:w="105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机关工作人员对办公条件满意度</w:t>
            </w:r>
          </w:p>
          <w:p>
            <w:pPr>
              <w:widowControl/>
              <w:adjustRightInd w:val="0"/>
              <w:snapToGrid w:val="0"/>
              <w:rPr>
                <w:rFonts w:hint="eastAsia" w:ascii="仿宋_GB2312" w:hAnsi="仿宋_GB2312" w:eastAsia="仿宋_GB2312" w:cs="仿宋_GB2312"/>
              </w:rPr>
            </w:pPr>
          </w:p>
        </w:tc>
        <w:tc>
          <w:tcPr>
            <w:tcW w:w="38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p>
            <w:pPr>
              <w:widowControl/>
              <w:adjustRightInd w:val="0"/>
              <w:snapToGrid w:val="0"/>
              <w:rPr>
                <w:rFonts w:hint="eastAsia" w:ascii="仿宋_GB2312" w:hAnsi="仿宋_GB2312" w:eastAsia="仿宋_GB2312" w:cs="仿宋_GB2312"/>
              </w:rPr>
            </w:pPr>
          </w:p>
        </w:tc>
        <w:tc>
          <w:tcPr>
            <w:tcW w:w="183" w:type="pct"/>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0</w:t>
            </w:r>
          </w:p>
          <w:p>
            <w:pPr>
              <w:widowControl/>
              <w:adjustRightInd w:val="0"/>
              <w:snapToGrid w:val="0"/>
              <w:rPr>
                <w:rFonts w:hint="eastAsia" w:ascii="仿宋_GB2312" w:hAnsi="仿宋_GB2312" w:eastAsia="仿宋_GB2312" w:cs="仿宋_GB2312"/>
              </w:rPr>
            </w:pPr>
          </w:p>
        </w:tc>
        <w:tc>
          <w:tcPr>
            <w:tcW w:w="32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val="en-US" w:eastAsia="zh-CN"/>
              </w:rPr>
              <w:t>%</w:t>
            </w:r>
          </w:p>
        </w:tc>
        <w:tc>
          <w:tcPr>
            <w:tcW w:w="90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机关工作人员满意</w:t>
            </w:r>
          </w:p>
          <w:p>
            <w:pPr>
              <w:widowControl/>
              <w:adjustRightInd w:val="0"/>
              <w:snapToGrid w:val="0"/>
              <w:rPr>
                <w:rFonts w:hint="eastAsia" w:ascii="仿宋_GB2312" w:hAnsi="仿宋_GB2312" w:eastAsia="仿宋_GB2312" w:cs="仿宋_GB2312"/>
              </w:rPr>
            </w:pP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sz w:val="28"/>
          <w:lang w:val="en-US" w:eastAsia="zh-CN"/>
        </w:rPr>
        <w:t>机关事务管理费</w:t>
      </w:r>
      <w:r>
        <w:rPr>
          <w:rFonts w:hint="eastAsia" w:ascii="仿宋_GB2312" w:hAnsi="仿宋_GB2312" w:eastAsia="仿宋_GB2312" w:cs="仿宋_GB2312"/>
          <w:sz w:val="28"/>
        </w:rPr>
        <w:t>（项目名称）绩效目标表</w:t>
      </w:r>
      <w:bookmarkStart w:id="3" w:name="_Toc29799657"/>
      <w:bookmarkEnd w:id="3"/>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规定时间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≤60万元/年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维持社区办公正常运转</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p>
        </w:tc>
        <w:tc>
          <w:tcPr>
            <w:tcW w:w="1985" w:type="dxa"/>
            <w:shd w:val="clear" w:color="auto" w:fill="auto"/>
            <w:vAlign w:val="center"/>
          </w:tcPr>
          <w:p>
            <w:pPr>
              <w:spacing w:line="300" w:lineRule="exact"/>
              <w:jc w:val="left"/>
              <w:rPr>
                <w:rFonts w:hint="eastAsia" w:ascii="仿宋_GB2312" w:hAnsi="仿宋_GB2312" w:eastAsia="仿宋_GB2312" w:cs="仿宋_GB2312"/>
              </w:rPr>
            </w:pPr>
          </w:p>
        </w:tc>
        <w:tc>
          <w:tcPr>
            <w:tcW w:w="3402" w:type="dxa"/>
            <w:shd w:val="clear" w:color="auto" w:fill="auto"/>
            <w:vAlign w:val="center"/>
          </w:tcPr>
          <w:p>
            <w:pPr>
              <w:spacing w:line="300" w:lineRule="exact"/>
              <w:jc w:val="left"/>
              <w:rPr>
                <w:rFonts w:hint="eastAsia" w:ascii="仿宋_GB2312" w:hAnsi="仿宋_GB2312" w:eastAsia="仿宋_GB2312" w:cs="仿宋_GB2312"/>
              </w:rPr>
            </w:pPr>
          </w:p>
        </w:tc>
        <w:tc>
          <w:tcPr>
            <w:tcW w:w="1843" w:type="dxa"/>
            <w:shd w:val="clear" w:color="auto" w:fill="auto"/>
            <w:vAlign w:val="center"/>
          </w:tcPr>
          <w:p>
            <w:pPr>
              <w:spacing w:line="300" w:lineRule="exact"/>
              <w:jc w:val="left"/>
              <w:rPr>
                <w:rFonts w:hint="eastAsia" w:ascii="仿宋_GB2312" w:hAnsi="仿宋_GB2312" w:eastAsia="仿宋_GB2312" w:cs="仿宋_GB2312"/>
              </w:rPr>
            </w:pPr>
          </w:p>
        </w:tc>
        <w:tc>
          <w:tcPr>
            <w:tcW w:w="2155" w:type="dxa"/>
            <w:shd w:val="clear" w:color="auto" w:fill="auto"/>
            <w:vAlign w:val="center"/>
          </w:tcPr>
          <w:p>
            <w:pPr>
              <w:spacing w:line="300" w:lineRule="exact"/>
              <w:jc w:val="lef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2.社区党组织服务群众专项经费[区级]（项目名称）绩效目标表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301"/>
        <w:gridCol w:w="1880"/>
        <w:gridCol w:w="3271"/>
        <w:gridCol w:w="2114"/>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571"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1.进一步加强城市基层党建工作，</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2.推动街道党工委聚焦主责主业</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3.集中精力抓党建、抓治理、抓服务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30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88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27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211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00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按要求发放办公经费金额社区数量</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17个</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按要求使用经费的社区数量占总社区数量的比率</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按要求及时使用</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shd w:val="clear" w:color="auto" w:fill="auto"/>
            <w:vAlign w:val="center"/>
          </w:tcPr>
          <w:p>
            <w:pPr>
              <w:rPr>
                <w:rFonts w:hint="eastAsia" w:ascii="仿宋_GB2312" w:hAnsi="仿宋_GB2312" w:eastAsia="仿宋_GB2312" w:cs="仿宋_GB2312"/>
              </w:rPr>
            </w:pP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成本控制情况</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增强党组织在群众中的影响力。</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显著提高</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0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88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271"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群众对资金使用情况是否满意</w:t>
            </w:r>
          </w:p>
        </w:tc>
        <w:tc>
          <w:tcPr>
            <w:tcW w:w="211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00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3.社区工作经费[区级]（项目名称）绩效目标表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6"/>
        <w:gridCol w:w="1572"/>
        <w:gridCol w:w="1988"/>
        <w:gridCol w:w="3307"/>
        <w:gridCol w:w="1844"/>
        <w:gridCol w:w="4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6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896"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1.加强和改进城市基层党的建设工作，强化社区工作经费保障能力</w:t>
            </w:r>
          </w:p>
          <w:p>
            <w:pPr>
              <w:pStyle w:val="14"/>
              <w:rPr>
                <w:rFonts w:hint="eastAsia" w:ascii="仿宋_GB2312" w:hAnsi="仿宋_GB2312" w:eastAsia="仿宋_GB2312" w:cs="仿宋_GB2312"/>
              </w:rPr>
            </w:pPr>
            <w:r>
              <w:rPr>
                <w:rFonts w:hint="eastAsia" w:ascii="仿宋_GB2312" w:hAnsi="仿宋_GB2312" w:eastAsia="仿宋_GB2312" w:cs="仿宋_GB2312"/>
              </w:rPr>
              <w:t>2.最大程度的保证社区工作正常有效运转</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3.促进社区各项公共事业的有序展开和建设。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6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57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0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1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按要求发放办公经费金额社区数量</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17个</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按要求使用经费的社区数量占总社区数量的比率</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按要求及时使用</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vMerge w:val="continue"/>
            <w:shd w:val="clear" w:color="auto" w:fill="auto"/>
            <w:vAlign w:val="center"/>
          </w:tcPr>
          <w:p>
            <w:pPr>
              <w:rPr>
                <w:rFonts w:hint="eastAsia" w:ascii="仿宋_GB2312" w:hAnsi="仿宋_GB2312" w:eastAsia="仿宋_GB2312" w:cs="仿宋_GB2312"/>
              </w:rPr>
            </w:pP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成本控制情况</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增强党组织在群众中的影响力。</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显著提高</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6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7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30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群众对资金使用情况是否满意</w:t>
            </w:r>
          </w:p>
        </w:tc>
        <w:tc>
          <w:tcPr>
            <w:tcW w:w="1844"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1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4.社区楼门长工作经费（项目名称）绩效目标表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1.通过发放楼门长补贴，达到积极引导广大居民群众主动参与基层社会治理，切实发挥居民小区楼门长作用。</w:t>
            </w:r>
          </w:p>
          <w:p>
            <w:pPr>
              <w:pStyle w:val="14"/>
              <w:rPr>
                <w:rFonts w:hint="eastAsia" w:ascii="仿宋_GB2312" w:hAnsi="仿宋_GB2312" w:eastAsia="仿宋_GB2312" w:cs="仿宋_GB2312"/>
              </w:rPr>
            </w:pPr>
            <w:r>
              <w:rPr>
                <w:rFonts w:hint="eastAsia" w:ascii="仿宋_GB2312" w:hAnsi="仿宋_GB2312" w:eastAsia="仿宋_GB2312" w:cs="仿宋_GB2312"/>
              </w:rPr>
              <w:t>2.通过发放楼门长补贴，实现群众参与社区管理，提高社会管理服务效能</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3.进一步完善社区治理体系，提升基层党组织建设和管理服务水平。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680人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发放覆盖率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反映资金发放覆盖情况</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680人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提高楼门长工作积极性</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反应提高楼门长工作积极性程度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受补贴人员满意度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5.社区招聘人员经费[区级]（项目名称）绩效目标表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1247"/>
        <w:gridCol w:w="2367"/>
        <w:gridCol w:w="3470"/>
        <w:gridCol w:w="1482"/>
        <w:gridCol w:w="4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64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1.按时按标准发放工资福利等，进一步增强干部职工得归属感，社区工作顺利开展，加强和完善社区治理，事关基层和谐稳定，</w:t>
            </w:r>
          </w:p>
          <w:p>
            <w:pPr>
              <w:pStyle w:val="14"/>
              <w:rPr>
                <w:rFonts w:hint="eastAsia" w:ascii="仿宋_GB2312" w:hAnsi="仿宋_GB2312" w:eastAsia="仿宋_GB2312" w:cs="仿宋_GB2312"/>
              </w:rPr>
            </w:pPr>
            <w:r>
              <w:rPr>
                <w:rFonts w:hint="eastAsia" w:ascii="仿宋_GB2312" w:hAnsi="仿宋_GB2312" w:eastAsia="仿宋_GB2312" w:cs="仿宋_GB2312"/>
              </w:rPr>
              <w:t>2.保持干部队伍相对稳定，保障办公正常运转，及时缴纳社会保险，确保人员稳定。</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24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36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7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48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07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保障人数</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保障人数</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≥106人</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工资的足额发放率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足额发放人数与总人数比率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社会保险的申报率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保险申报人数与总人数比率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工资及时发放率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工资发放的时效情况</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 xml:space="preserve"> </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社会保险及时缴纳率</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社会保险缴纳的时效情况</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rPr>
                <w:rFonts w:hint="eastAsia" w:ascii="仿宋_GB2312" w:hAnsi="仿宋_GB2312" w:eastAsia="仿宋_GB2312" w:cs="仿宋_GB2312"/>
              </w:rPr>
            </w:pPr>
          </w:p>
        </w:tc>
        <w:tc>
          <w:tcPr>
            <w:tcW w:w="124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36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人均工资及保险成本</w:t>
            </w:r>
          </w:p>
        </w:tc>
        <w:tc>
          <w:tcPr>
            <w:tcW w:w="347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每人每月工资及保险平均数</w:t>
            </w:r>
          </w:p>
        </w:tc>
        <w:tc>
          <w:tcPr>
            <w:tcW w:w="148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≤3678.93元/月/人</w:t>
            </w:r>
          </w:p>
        </w:tc>
        <w:tc>
          <w:tcPr>
            <w:tcW w:w="40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shd w:val="clear" w:color="auto" w:fill="auto"/>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社区工作水平有所提高</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通过按时按标准发放工资福利等，进一步增强干部职工得归属感，保持干部队伍相对稳定，保障办公正常运转，社区工作水平有所提高</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全面提高</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shd w:val="clear" w:color="auto" w:fill="auto"/>
            <w:vAlign w:val="center"/>
          </w:tcPr>
          <w:p>
            <w:pPr>
              <w:pStyle w:val="15"/>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满意度指标</w:t>
            </w:r>
          </w:p>
        </w:tc>
        <w:tc>
          <w:tcPr>
            <w:tcW w:w="124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236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社区聘用人员满意度</w:t>
            </w:r>
          </w:p>
        </w:tc>
        <w:tc>
          <w:tcPr>
            <w:tcW w:w="3470"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48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4077"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6.疫情防控无物业小区卡口人员经费（项目名称）绩效目标表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1.为了更好的落实疫情防控工作，广泛宣传，提升居民自我防范意识，群防群治</w:t>
            </w:r>
          </w:p>
          <w:p>
            <w:pPr>
              <w:pStyle w:val="14"/>
              <w:rPr>
                <w:rFonts w:hint="eastAsia" w:ascii="仿宋_GB2312" w:hAnsi="仿宋_GB2312" w:eastAsia="仿宋_GB2312" w:cs="仿宋_GB2312"/>
              </w:rPr>
            </w:pPr>
            <w:r>
              <w:rPr>
                <w:rFonts w:hint="eastAsia" w:ascii="仿宋_GB2312" w:hAnsi="仿宋_GB2312" w:eastAsia="仿宋_GB2312" w:cs="仿宋_GB2312"/>
              </w:rPr>
              <w:t>2.全天24小时加强卡口值守工作，封堵不必要通道，搭建值守帐篷，严格扫码测温登记，购置酒精、消毒液、口罩等防护用品，为工作人员提供疫情防护必要用口。</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3.达到“外防输入，内防反弹”工作目标保障辖区居民身体健康，实现了0例病例。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≥46个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辖区出入口登记率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辖区出入口登记率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卡口执勤时间</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卡口执勤时间</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24小时</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人员经费</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人员经费</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400元/人/天</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小区出入口值守情况</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小区出入口值守情况</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24小时全天值守</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廊广新字【2022】01号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值守人员满意度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值守人员满意度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hint="eastAsia"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
    </w:p>
    <w:p>
      <w:pPr>
        <w:jc w:val="left"/>
        <w:outlineLvl w:val="1"/>
        <w:rPr>
          <w:rFonts w:ascii="方正小标宋_GBK" w:eastAsia="方正小标宋_GBK" w:cs="Times New Roman"/>
          <w:sz w:val="32"/>
        </w:rPr>
      </w:pPr>
      <w:r>
        <w:rPr>
          <w:rFonts w:hint="eastAsia"/>
          <w:lang w:val="en-US" w:eastAsia="zh-CN"/>
        </w:rPr>
        <w:t xml:space="preserve"> </w:t>
      </w:r>
      <w:r>
        <w:t>廊坊市</w:t>
      </w:r>
      <w:r>
        <w:rPr>
          <w:rFonts w:hint="eastAsia"/>
          <w:lang w:eastAsia="zh-CN"/>
        </w:rPr>
        <w:t>广阳区</w:t>
      </w:r>
      <w:r>
        <w:rPr>
          <w:rFonts w:hint="eastAsia"/>
          <w:lang w:val="en-US" w:eastAsia="zh-CN"/>
        </w:rPr>
        <w:t>新开路街道办事处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新开路街道办事处</w:t>
      </w:r>
      <w:r>
        <w:rPr>
          <w:rFonts w:ascii="Times New Roman" w:hAnsi="Times New Roman" w:eastAsia="仿宋_GB2312" w:cs="Times New Roman"/>
          <w:sz w:val="32"/>
          <w:szCs w:val="32"/>
        </w:rPr>
        <w:t>（含所属单位）上年末固定资产金额为</w:t>
      </w:r>
      <w:r>
        <w:rPr>
          <w:rFonts w:hint="eastAsia" w:ascii="宋体" w:hAnsi="宋体"/>
          <w:color w:val="000000"/>
          <w:sz w:val="27"/>
        </w:rPr>
        <w:t>6466</w:t>
      </w:r>
      <w:r>
        <w:rPr>
          <w:rFonts w:hint="eastAsia" w:ascii="宋体" w:hAnsi="宋体"/>
          <w:color w:val="000000"/>
          <w:sz w:val="27"/>
          <w:lang w:val="en-US" w:eastAsia="zh-CN"/>
        </w:rPr>
        <w:t>.</w:t>
      </w:r>
      <w:r>
        <w:rPr>
          <w:rFonts w:hint="eastAsia" w:ascii="宋体" w:hAnsi="宋体"/>
          <w:color w:val="000000"/>
          <w:sz w:val="27"/>
        </w:rPr>
        <w:t>9</w:t>
      </w:r>
      <w:r>
        <w:rPr>
          <w:rFonts w:hint="eastAsia" w:ascii="宋体" w:hAnsi="宋体"/>
          <w:color w:val="000000"/>
          <w:sz w:val="27"/>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新开路街道办事处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color w:val="000000"/>
                <w:sz w:val="27"/>
              </w:rPr>
              <w:t>6466</w:t>
            </w:r>
            <w:r>
              <w:rPr>
                <w:rFonts w:hint="eastAsia" w:ascii="宋体" w:hAnsi="宋体"/>
                <w:color w:val="000000"/>
                <w:sz w:val="27"/>
                <w:lang w:val="en-US" w:eastAsia="zh-CN"/>
              </w:rPr>
              <w:t>.</w:t>
            </w:r>
            <w:r>
              <w:rPr>
                <w:rFonts w:hint="eastAsia" w:ascii="宋体" w:hAnsi="宋体"/>
                <w:color w:val="000000"/>
                <w:sz w:val="27"/>
              </w:rPr>
              <w:t>9</w:t>
            </w:r>
            <w:r>
              <w:rPr>
                <w:rFonts w:hint="eastAsia" w:ascii="宋体" w:hAnsi="宋体"/>
                <w:color w:val="000000"/>
                <w:sz w:val="27"/>
                <w:lang w:val="en-US" w:eastAsia="zh-CN"/>
              </w:rPr>
              <w:t>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ascii="宋体" w:hAnsi="宋体"/>
                <w:color w:val="000000"/>
                <w:sz w:val="27"/>
              </w:rPr>
              <w:t xml:space="preserve"> 348.04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宋体" w:hAnsi="宋体"/>
                <w:color w:val="000000"/>
                <w:sz w:val="27"/>
              </w:rPr>
              <w:t>448.07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宋体" w:hAnsi="宋体"/>
                <w:color w:val="000000"/>
                <w:sz w:val="27"/>
              </w:rPr>
              <w:t xml:space="preserve"> 348.04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color w:val="000000"/>
                <w:sz w:val="27"/>
                <w:lang w:val="en-US" w:eastAsia="zh-CN"/>
              </w:rPr>
              <w:t>23.96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5954.9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B40732"/>
    <w:rsid w:val="00B80935"/>
    <w:rsid w:val="00D347CC"/>
    <w:rsid w:val="00DC72B4"/>
    <w:rsid w:val="03C725A5"/>
    <w:rsid w:val="06AC24BD"/>
    <w:rsid w:val="08837488"/>
    <w:rsid w:val="08DF079E"/>
    <w:rsid w:val="092A0DC1"/>
    <w:rsid w:val="0CEC1180"/>
    <w:rsid w:val="13892CFD"/>
    <w:rsid w:val="15CB510D"/>
    <w:rsid w:val="20044D10"/>
    <w:rsid w:val="291F75A2"/>
    <w:rsid w:val="30366092"/>
    <w:rsid w:val="3112773A"/>
    <w:rsid w:val="36465EAD"/>
    <w:rsid w:val="3B0274C7"/>
    <w:rsid w:val="3BF531A3"/>
    <w:rsid w:val="40557AB4"/>
    <w:rsid w:val="452F149F"/>
    <w:rsid w:val="455A2761"/>
    <w:rsid w:val="47F14986"/>
    <w:rsid w:val="4A180E3D"/>
    <w:rsid w:val="50E17CE7"/>
    <w:rsid w:val="55761960"/>
    <w:rsid w:val="632C4A2F"/>
    <w:rsid w:val="65A37C87"/>
    <w:rsid w:val="65ED52B5"/>
    <w:rsid w:val="66FD27F8"/>
    <w:rsid w:val="674A6ADF"/>
    <w:rsid w:val="6B07520F"/>
    <w:rsid w:val="6E4B44E0"/>
    <w:rsid w:val="6EAA4FB3"/>
    <w:rsid w:val="6F2579A9"/>
    <w:rsid w:val="72AA1E02"/>
    <w:rsid w:val="73693C55"/>
    <w:rsid w:val="749A53EE"/>
    <w:rsid w:val="7EF6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15</TotalTime>
  <ScaleCrop>false</ScaleCrop>
  <LinksUpToDate>false</LinksUpToDate>
  <CharactersWithSpaces>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2023-08-15T03:35:26Z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619C587150EA4AFAB0324019316D60CD</vt:lpwstr>
  </property>
</Properties>
</file>