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广阳区九州镇人民政府</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w:t>
      </w:r>
      <w:r>
        <w:rPr>
          <w:rFonts w:hint="eastAsia" w:ascii="仿宋_GB2312" w:hAnsi="仿宋_GB2312" w:eastAsia="仿宋_GB2312" w:cs="仿宋_GB2312"/>
          <w:sz w:val="32"/>
          <w:szCs w:val="32"/>
        </w:rPr>
        <w:t>九州镇人民政府</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根据《廊坊市广阳区九州镇职能配置、内设机构和人员编制规定》， 廊坊市广阳区九州镇的主要职责是：</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政务服务职责：负责政务公开、单位会议管理、督察督办、政务联络、办事处日常工作等。</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应急管理职责：负责基层政府值班工作，及时报告重要情况，传达和督促落实镇政府领导指示。协助镇政府领导做好需由基层政府组织处理的突发事件应急处置工作。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电子政务管理职责：负责政务信息服务工作和政府系统机关电子政务工作，保各类会议顺利进行；保障街道网络系统安全、稳定运行，技术设备安全可用。严格执行会议技术保障服务流程和电视电话会议室管理制度。切实提高技术保障和服务能力，力争领导满意、群众满意、部门满意。</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地方志事务职责：负责全辖区地方志事务管理。弘扬和传承优秀文化传统，充分发挥志书“资政、存史、教化”的综合功能，为社会各界方便快捷提供县情，为本县经济社会建设服务，为地方志工作者提供资料和工具。</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残疾人综合职责：对持证残疾人需求情况进行调查，对残疾人状况进行动态监测，加强和规范残疾人基层组织建设，加大残疾人就业保障金的征收力度，加强残疾人工作信息化建设和基础研究。摸清残疾人底数，增强基层服务残疾人的能力，确保残疾人就业保障金的稳定增收；构建残疾人公共服务网络化平台。</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维护妇女儿童合法权益促进妇女儿童发展职责：关注并加强研究涉及妇女切身利益的热点、难点问题，及时向镇委和镇政府反映社情民意，提出对策建议。妇女综合素质和发展能力有较大提升。妇女儿童合法权益得到有效维护，男女平等基本国策宣传进一步深入人心。</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工会事务管理职责：研究指导全办事处工会自身建设；承担工委、政府及全国总工会交办的其他事项。</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团委事务管理职责：负责团委综合业务管理。</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宣传事务管理职责：负责系统综合业务管理和机关综合事务管理。确保各项业务工作谋划到位、顺利开展。保障机关工作正常高效运转。</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党政综合办公室事务管理职责：按照有关要求，做好机关日常办公所需及办公区房屋与附属设施的维修、维护工作；做好机关办公区绿化、美化工作；做好后勤保障和老干部管理服务工作，保证了食品安全和城市拆迁建设工作顺利开展。综合协调各部门区直各单位、做好上传下达、文印收发、信息反馈、档案管理、机关事务，负责基层组织建设、党员教育管理理、干部考核与目标管理、老干部管理、农村精神文明建设、机构编制管理等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建设与环保政务管理职责：负责环境保护系统综合业务管理和机关综合事务管理。加强城乡建设与环保保护管理工作。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选举和任免管理职责：检查监督代表法、选举法及其实施办法的贯彻实施；承担人大换届选举及人事任免服务工作；负责对镇政府组成人员主要负责人的目标责任书、述职报告的督办工作。根据工作需要和镇委的建议，在充分酝酿和审议的基础上，选举产生一府两院的领导成员，确保选出能力突出、责任心强、有开拓精神的同志担任。为确保有关选举的法律法规符合实际，在充分考察调研的基础上，实施对其进行修改。对镇政府组成人员主要负责人进行目标责任监督，确保依法履行职责，完成目标任务。</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安全生产管理职责：协助安监局对广阳区域内采油站点、油气管线、铁路线路安全检查。协助广阳区安监局及油田铁路相关部门对我区内各采油站点、油气管线、铁路线路进行安全检查。排查安全隐患，保证我区内正常运行。</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政务管理职责：协助领导组织起草或审核上报区政府以及以政府办公室名义发布的公文；办理镇政府各部门和下级政府报送的文电；对部门间出现的争议问题提出处理意见；组织起草街道领导重要讲话及其他重要文稿；组织专题调研；承办领导交办的其他事项。依法行政，构建人民群众满意、勤政廉洁的政府部门；保障工作正常高效运行，相关工作顺利开展。以农村教育为重点，推进义务教育均衡发展，建立中小学校舍安全保障机制，改善薄弱学校办学条件，提高素质教育水平，开展丰富多彩的教学活动。促进公共教育资源向农村和经济欠发达地区倾斜。贯彻执行国家、省、市和区关于少数民族工作的方针政策及有关法律法规；协调处理涉及民族关系的有关事宜，监督办理少数民族权益保障事宜；帮扶民族地方经济发展；研究解决少数民族文化、教育、体育、科技等方面的特殊困难和问题，开展相关保护开发活动，开展民族团结进步宣传教育活动。实施重大动物疫病的预防控制、预测预警、疫情扑灭，促进养殖业发展，保护人体健康，维护公共卫生安全。农村农业各项补贴审核等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大气污染治理工作职责: 负责大气污染治理领导小组日常工作，制定大气污染治理工作规划、工作制度、有关方案和考核办法；研究提出需提交领导小组审议的事项，分解落实有关工作任务；组织对大气污染治理工作进行考核，负责有关信息汇总上报和宣传工作；负责协调推进大气污染治理各项工作；承担领导小组工作会议筹备及会务组织工作；承办领导小组交办的其他事项。通过制定大气污染治理工作计划、工作制度、工作方案及考核办法；研究提出需提交领导小组审议的事项，分解落实有关工作任务；组织对大气污染治理工作进行考核，负责有关信息汇总上报和宣传工作；负责协调推进大气污染治理各项工作；承担领导小组工作会议筹备及会务组织工作；承办领导小组交办的其他事项等工作，实现大气污染防治年度治理目标，切实减少雾霾污染，有效改造空气质量。</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义务教育职责：以农村教育为重点，推进义务教育均衡发展，建立学校安全保障机制，改善薄弱学校办学条件，促进公共教育资源向农村和经济欠发达地区倾斜。提高义务教育公用经费保障水平，改善办学条件，均衡配置基础教育资源，缩小城镇、区域、校际之间办学差距。</w:t>
      </w:r>
    </w:p>
    <w:p>
      <w:pPr>
        <w:spacing w:line="500" w:lineRule="exact"/>
        <w:ind w:firstLine="640" w:firstLineChars="200"/>
        <w:jc w:val="left"/>
        <w:rPr>
          <w:rFonts w:ascii="Times New Roman" w:eastAsia="方正仿宋_GBK"/>
          <w:sz w:val="28"/>
        </w:rPr>
      </w:pPr>
      <w:r>
        <w:rPr>
          <w:rFonts w:hint="eastAsia" w:ascii="仿宋_GB2312" w:hAnsi="仿宋_GB2312" w:eastAsia="仿宋_GB2312" w:cs="仿宋_GB2312"/>
          <w:sz w:val="32"/>
          <w:szCs w:val="32"/>
        </w:rPr>
        <w:t>村街组织管理事务职责：负责村街党员发展；村街党组织活动；基层组织建设、党员教育管理、农村精神文明建设等工作。保障并提高村干部报酬，维持村级正常运转，开展村党组织活动，“三会一课”等，做好离任村干部及村街其他人员生活补助发放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廊坊市广阳区九州镇人民政府</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w:t>
      </w:r>
      <w:r>
        <w:rPr>
          <w:rFonts w:hint="eastAsia" w:ascii="仿宋_GB2312" w:hAnsi="仿宋_GB2312" w:eastAsia="仿宋_GB2312" w:cs="仿宋_GB2312"/>
          <w:sz w:val="32"/>
          <w:szCs w:val="32"/>
        </w:rPr>
        <w:t>九州镇人民</w:t>
      </w:r>
      <w:r>
        <w:rPr>
          <w:rFonts w:hint="eastAsia" w:ascii="Times New Roman" w:hAnsi="Times New Roman" w:eastAsia="仿宋_GB2312" w:cs="Times New Roman"/>
          <w:sz w:val="32"/>
          <w:szCs w:val="32"/>
        </w:rPr>
        <w:t>政府</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7794.8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6466.88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1327.92万元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广阳区九州镇人民政府2022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7794.8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5453.01</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5205.33</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247.68</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2341.79</w:t>
      </w:r>
      <w:r>
        <w:rPr>
          <w:rFonts w:ascii="Times New Roman" w:hAnsi="Times New Roman" w:eastAsia="仿宋_GB2312" w:cs="Times New Roman"/>
          <w:sz w:val="32"/>
          <w:szCs w:val="32"/>
        </w:rPr>
        <w:t>万元，包括本级支出和对下补助支出，主要为</w:t>
      </w:r>
      <w:r>
        <w:rPr>
          <w:rFonts w:hint="eastAsia" w:ascii="Times New Roman" w:hAnsi="Times New Roman" w:eastAsia="仿宋_GB2312" w:cs="Times New Roman"/>
          <w:sz w:val="32"/>
          <w:szCs w:val="32"/>
        </w:rPr>
        <w:t>村级组织运转经费</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4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7794.8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2332.95</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1137.11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农林水及教育</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1195.84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村级组织运转经费及彩票公益金</w:t>
      </w:r>
      <w:r>
        <w:rPr>
          <w:rFonts w:ascii="Times New Roman" w:hAnsi="Times New Roman" w:eastAsia="仿宋_GB2312" w:cs="Times New Roman"/>
          <w:sz w:val="32"/>
          <w:szCs w:val="32"/>
        </w:rPr>
        <w:t>项目支出。</w:t>
      </w:r>
    </w:p>
    <w:p>
      <w:pPr>
        <w:autoSpaceDE w:val="0"/>
        <w:autoSpaceDN w:val="0"/>
        <w:adjustRightInd w:val="0"/>
        <w:spacing w:line="540"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40"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247.68</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spacing w:line="540"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40"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无增减变化。</w:t>
      </w:r>
    </w:p>
    <w:p>
      <w:pPr>
        <w:spacing w:line="540" w:lineRule="exact"/>
        <w:ind w:firstLine="960" w:firstLineChars="3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40" w:lineRule="exact"/>
        <w:ind w:firstLine="960" w:firstLineChars="3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40" w:lineRule="exact"/>
        <w:ind w:firstLine="803" w:firstLineChars="25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spacing w:line="54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廊坊市广阳区九州镇部门整体绩效评价管理办法</w:t>
      </w:r>
    </w:p>
    <w:p>
      <w:pPr>
        <w:pStyle w:val="19"/>
        <w:spacing w:line="54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为建立和健全部门预算支出绩效评价制度体系，加强部门预算支出绩效评价工作，根据《中共廊坊市广阳区委 廊坊市广阳区人民政府关于全面实施预算绩效管理的实施意见》（廊广发[2019]号）规定，结合部门预算支出预算管理的具体情况，制定本办法。</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本办法所称部门整体绩效评价，是指财政部门和各部门各单位根据设置的绩效目标，运用科学、合理的绩效评价指标、评价标准和评价方法，以包括部门收入和部门支出在内的预算资金管理为主线，对运行成本、履行效能、核心业务产出、效果效益、可持续发展能力和服务对象满意度等内容进行客观、公正的评价。</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本办法适用于对所有部门和单位整体组织开展的绩效评价管理办法。部门和单位为履行职责分配、使用、管理的财政政行资金均应纳入整理绩效评价管理范围。</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第二章 组织管理</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财政部门负责制定部门整体的绩效评价管理制度，指导、监督、考核部门整体绩效评价管理工作;审核部门的自评结果，组织开展再评价和重点评价；推进部门整体绩效评价结果应用和信息公开。</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部门负责建立本部门整体绩效评价管理制度；按要求开展本部门及所属单位的整体绩效自评价工作，将本部门整体绩效自评价结果上报财政部门；组织、指导所属单位开展绩效评价管理工作；配合财政部门开展再评价和重点评价工作；按要求推进结果应用和信息公开。</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单位按要求开展本单位的整体绩效自评价工作，并将自评结果上报主管部门；配合财政部门开展再评价和重点评价；按要求推进结果应用和信息公开。</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第三章 评价内容</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整体绩效评价基本内容如下：</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（一）整体绩效目标的设置情况；</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（二）资金投入、预算执行和管理情况；</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（三）为实现整体绩效目标所制定的制度、采取的工作措施；</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（四）整体绩效目标实现情况及效果；</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（五）开展预算绩效管理的情况；</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（六）绩效评价的其他内容。</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整体绩效评价的主要依据包括：</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（一）国家相关法律、法规和规章制度，国民经济与社会发展规划，年度政府工作报告；</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（二）主要职责、内设机构、人员编制及保障部门履职的各项管理制度；</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（三）年度重点工作任务和工作计划、重大政策和项目安排情况；</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（四）整体绩效目标；</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（五）年度预算、执行、决算及公开情况；</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（六）财政管理工作考核情况；</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（七）与整体绩效评价相关的其他资料。</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整体绩效评价结果（绩效评级）分为优、良、合格和不合格四个等级。综合得分在90分(含90分)以上为优, 80（含）-90分为良,60（含）-80分为合格,60分以下为不合格。</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第四章 评价类型和方法</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绩效评价指标是指衡量绩效目标实现程度的考核工具。绩效评价指标的确定应当遵循以下原则:</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(一)相关性原则。应当与绩效目标有直接的联系，能够恰当反映目标的实现程度。</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(二)重要性原则。应当优先使用最具评价对象代表性、最能反映评价要求的核心指标。</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(三)可比性原则。对同类评价对象要设定共性的绩效评价指标，以便于评价结果可以相互比较。</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(四)系统性原则。应当将定量指标与定性指标相结合，系统反映国家林业局部门预算财政支出所产生的社会效益、经济效益、环境效益和可持续影响等。</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(五)经济性原则。应当通俗易懂、简便易行，数据的获得应当考虑现实条件和可操作性，符合成本效益原则。</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绩效评价标准是指衡量部门预算支出绩效目标完成程度的尺度。绩效评价标准具体包括:</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(一)计划标准。是指以预先制定的目标、计划、预算、定额等数据作为评价的标准。</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(二)行业标准。是指参照国家公布的行业指标数据制定的评价标准。</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(三)历史标准。是指参照同类指标的历史数据制定的评价标准。</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绩效评价方法主要采用成本效益分析法、比较法、因素分析法、最低成本法、公众评判法等。</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(一)成本效益分析法。是指将一定时期内的支出与效益进行对比分析，以评价绩效目标实现程度。</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(二)比较法。是指通过对绩效目标与实施效果、历史与当期情况、预算与预算执行结果、不同部门和地区同类支出的比较，综合分析绩效目标实现程度。</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(三)因素分析法。是指通过综合分析影响绩效目标实现、实施效果的内外因素，评价绩效目标实现程度。</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(四)最低成本法。是指对效益确定却不易计量的多个同类对象的实施成本进行比较，评价绩效目标实现程度。</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(五)公众评判法。是指通过专家评估、公众问卷及抽样调查等对部门预算支出效果进行评判，评价绩效目标实现程度。</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第五章 工作程序</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部门整体绩效自评主要包括三个阶段：评价准备阶段、评价实施阶段和结果形成阶段。</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（一）评价准备阶段。财政部门下达自评通知，部门和单位按要求搜集资料，包括反映自身职能、中长期规划、年初工作计划、基本工作开展情况等有关资料。</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评价实施阶段。部门和单位对照年初批复的绩效目标和具体指标，结合相应目标完成程度，填报«部门（单位）整体绩效自评表»（附件1），并对目标偏差超过30%的指标（包括未达标和超标），逐条说明原因和改进措施。</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结果形成阶段。部门和单位的整体绩效自评结果主要通过整体绩效自评表的形式反映，要做到内容完整、权重合理、数据真实、结果客观。单位完成自评表填报后，应及时上报主管部门；主管部门在汇总所属单位及部门本级的各项自评数据材料后，形成本部门整体的绩效自评表，按要求报送财政部门。</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第六章 绩效评价结果及其应用</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绩效评价结果应当采取评分与评级相结合的形式，具体分值和等级根据不同评价对象和不同内容设定。</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部门负责整理、归纳、分析、反馈绩效评价结果和落实财政部的整改意见，并将其作为改进预算管理和安排以后年度预算的重要依据。</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第七章 附则</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本办法自发布之日起施行。</w:t>
      </w:r>
    </w:p>
    <w:p>
      <w:pPr>
        <w:spacing w:line="540"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1、持续提升政务服务与管理工作水平</w:t>
      </w:r>
    </w:p>
    <w:p>
      <w:pPr>
        <w:pStyle w:val="2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突出政务、加强事务、提升服务，增强工作综合服务实力。提高公文起草和公文办理的质量和效率，不断提升公文工作科学化、制度化、规范化水平，确保各项工作严谨规范、高效运转；做好政府会议的准备和服务保障工作；做好政府政务公开和政府信息公开工作及村级村务公开工作。</w:t>
      </w:r>
    </w:p>
    <w:p>
      <w:pPr>
        <w:pStyle w:val="2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公文及时起草或办理，公文起草及办理的质量和效率满足《机关工作标准化流程》要求，拟办意见采纳率90%以上；会议计划100%执行，大型会议圆满完成率达到100%；政务公开及村务公开的完成率达到95%。</w:t>
      </w:r>
    </w:p>
    <w:p>
      <w:pPr>
        <w:pStyle w:val="2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2、持续提升政府电子政务管理水平</w:t>
      </w:r>
    </w:p>
    <w:p>
      <w:pPr>
        <w:pStyle w:val="2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做好电子政务网络的建设和维护以及数据资源中心建设和运维管理，保障政府网络系统安全、稳定运行。严格执行会议技术保障服务流程、视频会议管理制度，提高及时保障和服务能力。做好设备器材保障，确保日常工作运转硬件设备完好。做好政府门户网站建设和运维管理，确保政府门户网站正常运转。</w:t>
      </w:r>
    </w:p>
    <w:p>
      <w:pPr>
        <w:pStyle w:val="2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政府电子政务网络对各个应用信息系统提供支撑的满足情况达到99%以上；网络可用性：网络具有高可靠性，保证应用系统的正常运行，年电路可用率达到99%；做好政府门户网站日常管理，保障门户网站符合国办相关要求，确保正常运行；异常报告及时率、异常漏报率符合标准，确保网络安全、可靠和稳定运行；用户满意度高于95%。</w:t>
      </w:r>
    </w:p>
    <w:p>
      <w:pPr>
        <w:pStyle w:val="2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3、提升应急管理水平</w:t>
      </w:r>
    </w:p>
    <w:p>
      <w:pPr>
        <w:pStyle w:val="2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绩效目标:建设运行维护好镇政府应急平台，实现各种实用功能，有效保证镇政府日常应急值守和突发事件应对处置工作；进一步加强应急宣传工作，拓宽宣教渠道、扩大受众面、增强工作实效；充分发做好指导、协调各部门应急工作，确保信息报送及时畅通，不出差错和问题。 </w:t>
      </w:r>
    </w:p>
    <w:p>
      <w:pPr>
        <w:pStyle w:val="2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绩效指标：保障日常应急值守和突发事件及时处理，处理率达到95%；做好应急宣传工作，宣传覆盖面积达到95%以上。</w:t>
      </w:r>
    </w:p>
    <w:p>
      <w:pPr>
        <w:pStyle w:val="2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4、持续提升综合业务事务管理水平</w:t>
      </w:r>
    </w:p>
    <w:p>
      <w:pPr>
        <w:pStyle w:val="2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做好辖区内散乱污、饭店油烟、VOC企业、汽修企业、工地扬尘治理管控工作，使得环境得到改善，天气优良率提升；加强和完善社区治理事关基层和谐稳定，进一步健全城乡社区治理体系，推进治理能力现代化；做好年度财政预、决算工作，推进预、决算公开，实施全面规范、公开透明的预、决算制度；做好政府采购预算，按照相关规定进行政府采购并管理政府采购网站；做好村级公益事业建设一事一议财政奖补、扶持村集体经济试点等工作；做好村街党员发展，村街党组织活动，基层组织建设、党员教育管理、农村精神文明建设等工作。</w:t>
      </w:r>
    </w:p>
    <w:p>
      <w:pPr>
        <w:spacing w:line="54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绩效指标：做好散乱污等治理工作，改善辖区内环境，优良天气增加；加强社区建设，更好为社区服务，使服务群众满意，满意度达到95%及以上；做好村级公益事业建设一事一议财政奖补、扶持村集体经济试点等工作，使得村街环境等得到改善，群众满意度达到95%及以上；做好村街党员发展、困难单元慰问，基层党组织建设，党组织活动开展及党员教育活动，使得党员素质得到提高，更好的为村级服务，群众满意度达到95%及以上。</w:t>
      </w:r>
    </w:p>
    <w:p>
      <w:pPr>
        <w:spacing w:line="540"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坚持改革创新。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各项工作取得新成效，确保全年目标任务高质量完成。</w:t>
      </w:r>
    </w:p>
    <w:p>
      <w:pPr>
        <w:pStyle w:val="21"/>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强化预算执行。将年度工作目标任务细化分解，落实到岗、落实到人。科学制定预算使用计划，加快履行政府采购程序，督促相关科室加快项目执行，根据需要召开调度会，及时协调解决工作中存在的困难和问题。</w:t>
      </w:r>
    </w:p>
    <w:p>
      <w:pPr>
        <w:pStyle w:val="21"/>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加强内控建设。建立健全内部控制体系，认真执行财经法规和政策要求，对重大支出、资产处置及其他重要经济事项进行有效监督，并完善内部审计，配合做好审计、财政等外部检查，确保资金使用安全有效。</w:t>
      </w:r>
    </w:p>
    <w:p>
      <w:pPr>
        <w:overflowPunct w:val="0"/>
        <w:adjustRightInd w:val="0"/>
        <w:snapToGrid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2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187"/>
        <w:gridCol w:w="920"/>
        <w:gridCol w:w="1580"/>
        <w:gridCol w:w="2400"/>
        <w:gridCol w:w="3629"/>
        <w:gridCol w:w="543"/>
        <w:gridCol w:w="488"/>
        <w:gridCol w:w="57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20" w:hRule="atLeast"/>
          <w:tblHeader/>
          <w:jc w:val="center"/>
        </w:trPr>
        <w:tc>
          <w:tcPr>
            <w:tcW w:w="1187"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一级指标</w:t>
            </w:r>
          </w:p>
        </w:tc>
        <w:tc>
          <w:tcPr>
            <w:tcW w:w="920"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二级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1580"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三级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2400"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评（扣）分标准</w:t>
            </w:r>
          </w:p>
        </w:tc>
        <w:tc>
          <w:tcPr>
            <w:tcW w:w="3629"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绩效指标</w:t>
            </w:r>
          </w:p>
          <w:p>
            <w:pPr>
              <w:widowControl/>
              <w:adjustRightInd w:val="0"/>
              <w:snapToGrid w:val="0"/>
              <w:spacing w:line="240" w:lineRule="exact"/>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tc>
        <w:tc>
          <w:tcPr>
            <w:tcW w:w="1554"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p>
            <w:pPr>
              <w:widowControl/>
              <w:adjustRightInd w:val="0"/>
              <w:snapToGrid w:val="0"/>
              <w:spacing w:line="240" w:lineRule="exact"/>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20" w:hRule="atLeast"/>
          <w:tblHeader/>
          <w:jc w:val="center"/>
        </w:trPr>
        <w:tc>
          <w:tcPr>
            <w:tcW w:w="1187" w:type="dxa"/>
            <w:vMerge w:val="continue"/>
            <w:tcBorders>
              <w:tl2br w:val="nil"/>
              <w:tr2bl w:val="nil"/>
            </w:tcBorders>
            <w:vAlign w:val="center"/>
          </w:tcPr>
          <w:p>
            <w:pPr>
              <w:spacing w:line="240" w:lineRule="exact"/>
            </w:pPr>
          </w:p>
        </w:tc>
        <w:tc>
          <w:tcPr>
            <w:tcW w:w="920" w:type="dxa"/>
            <w:vMerge w:val="continue"/>
            <w:tcBorders>
              <w:tl2br w:val="nil"/>
              <w:tr2bl w:val="nil"/>
            </w:tcBorders>
            <w:vAlign w:val="center"/>
          </w:tcPr>
          <w:p>
            <w:pPr>
              <w:spacing w:line="240" w:lineRule="exact"/>
            </w:pPr>
          </w:p>
        </w:tc>
        <w:tc>
          <w:tcPr>
            <w:tcW w:w="1580" w:type="dxa"/>
            <w:vMerge w:val="continue"/>
            <w:tcBorders>
              <w:tl2br w:val="nil"/>
              <w:tr2bl w:val="nil"/>
            </w:tcBorders>
            <w:vAlign w:val="center"/>
          </w:tcPr>
          <w:p>
            <w:pPr>
              <w:spacing w:line="240" w:lineRule="exact"/>
            </w:pPr>
          </w:p>
        </w:tc>
        <w:tc>
          <w:tcPr>
            <w:tcW w:w="2400" w:type="dxa"/>
            <w:vMerge w:val="continue"/>
            <w:tcBorders>
              <w:tl2br w:val="nil"/>
              <w:tr2bl w:val="nil"/>
            </w:tcBorders>
            <w:vAlign w:val="center"/>
          </w:tcPr>
          <w:p>
            <w:pPr>
              <w:spacing w:line="240" w:lineRule="exact"/>
            </w:pPr>
          </w:p>
        </w:tc>
        <w:tc>
          <w:tcPr>
            <w:tcW w:w="3629" w:type="dxa"/>
            <w:vMerge w:val="continue"/>
            <w:tcBorders>
              <w:tl2br w:val="nil"/>
              <w:tr2bl w:val="nil"/>
            </w:tcBorders>
            <w:vAlign w:val="center"/>
          </w:tcPr>
          <w:p>
            <w:pPr>
              <w:spacing w:line="240" w:lineRule="exact"/>
            </w:pPr>
          </w:p>
        </w:tc>
        <w:tc>
          <w:tcPr>
            <w:tcW w:w="543"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单位</w:t>
            </w:r>
          </w:p>
        </w:tc>
        <w:tc>
          <w:tcPr>
            <w:tcW w:w="1554" w:type="dxa"/>
            <w:vMerge w:val="continue"/>
            <w:tcBorders>
              <w:tl2br w:val="nil"/>
              <w:tr2bl w:val="nil"/>
            </w:tcBorders>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20" w:hRule="atLeast"/>
          <w:jc w:val="center"/>
        </w:trPr>
        <w:tc>
          <w:tcPr>
            <w:tcW w:w="1187" w:type="dxa"/>
            <w:vMerge w:val="restart"/>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部门产出</w:t>
            </w:r>
          </w:p>
        </w:tc>
        <w:tc>
          <w:tcPr>
            <w:tcW w:w="920"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数量</w:t>
            </w:r>
          </w:p>
        </w:tc>
        <w:tc>
          <w:tcPr>
            <w:tcW w:w="1580" w:type="dxa"/>
            <w:tcBorders>
              <w:tl2br w:val="nil"/>
              <w:tr2bl w:val="nil"/>
            </w:tcBorders>
          </w:tcPr>
          <w:p>
            <w:pPr>
              <w:widowControl/>
              <w:spacing w:line="240" w:lineRule="exact"/>
              <w:jc w:val="center"/>
              <w:textAlignment w:val="top"/>
              <w:rPr>
                <w:rFonts w:ascii="仿宋_GB2312" w:eastAsia="仿宋_GB2312" w:cs="Calibri"/>
                <w:color w:val="000000"/>
                <w:sz w:val="22"/>
              </w:rPr>
            </w:pPr>
            <w:r>
              <w:rPr>
                <w:rFonts w:hint="eastAsia" w:ascii="仿宋_GB2312" w:eastAsia="仿宋_GB2312" w:cs="Calibri"/>
                <w:color w:val="000000"/>
                <w:kern w:val="0"/>
                <w:sz w:val="22"/>
              </w:rPr>
              <w:t>辖区村级综合服务站个数</w:t>
            </w:r>
          </w:p>
        </w:tc>
        <w:tc>
          <w:tcPr>
            <w:tcW w:w="2400"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分值10分，每少1个不得分</w:t>
            </w:r>
          </w:p>
        </w:tc>
        <w:tc>
          <w:tcPr>
            <w:tcW w:w="3629"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辖区村级综合服务站个数</w:t>
            </w:r>
          </w:p>
        </w:tc>
        <w:tc>
          <w:tcPr>
            <w:tcW w:w="543"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w:t>
            </w:r>
          </w:p>
        </w:tc>
        <w:tc>
          <w:tcPr>
            <w:tcW w:w="488"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1</w:t>
            </w:r>
          </w:p>
        </w:tc>
        <w:tc>
          <w:tcPr>
            <w:tcW w:w="573"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个</w:t>
            </w:r>
          </w:p>
        </w:tc>
        <w:tc>
          <w:tcPr>
            <w:tcW w:w="1554" w:type="dxa"/>
            <w:tcBorders>
              <w:tl2br w:val="nil"/>
              <w:tr2bl w:val="nil"/>
            </w:tcBorders>
            <w:vAlign w:val="center"/>
          </w:tcPr>
          <w:p>
            <w:pPr>
              <w:widowControl/>
              <w:adjustRightInd w:val="0"/>
              <w:snapToGrid w:val="0"/>
              <w:spacing w:line="240" w:lineRule="exact"/>
              <w:jc w:val="center"/>
              <w:rPr>
                <w:rFonts w:ascii="仿宋_GB2312" w:eastAsia="仿宋_GB2312"/>
              </w:rPr>
            </w:pPr>
          </w:p>
          <w:p>
            <w:pPr>
              <w:spacing w:line="240" w:lineRule="exact"/>
              <w:jc w:val="center"/>
              <w:rPr>
                <w:rFonts w:ascii="仿宋_GB2312" w:eastAsia="仿宋_GB2312"/>
              </w:rPr>
            </w:pPr>
            <w:r>
              <w:rPr>
                <w:rFonts w:hint="eastAsia" w:ascii="仿宋_GB2312" w:eastAsia="仿宋_GB2312"/>
              </w:rPr>
              <w:t>按政策要求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20" w:hRule="atLeast"/>
          <w:jc w:val="center"/>
        </w:trPr>
        <w:tc>
          <w:tcPr>
            <w:tcW w:w="1187" w:type="dxa"/>
            <w:vMerge w:val="continue"/>
            <w:tcBorders>
              <w:tl2br w:val="nil"/>
              <w:tr2bl w:val="nil"/>
            </w:tcBorders>
            <w:vAlign w:val="center"/>
          </w:tcPr>
          <w:p>
            <w:pPr>
              <w:spacing w:line="240" w:lineRule="exact"/>
              <w:jc w:val="center"/>
              <w:rPr>
                <w:rFonts w:ascii="仿宋_GB2312" w:eastAsia="仿宋_GB2312"/>
              </w:rPr>
            </w:pPr>
          </w:p>
        </w:tc>
        <w:tc>
          <w:tcPr>
            <w:tcW w:w="920"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质量</w:t>
            </w:r>
          </w:p>
        </w:tc>
        <w:tc>
          <w:tcPr>
            <w:tcW w:w="1580"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工资补贴发放准确率</w:t>
            </w:r>
          </w:p>
        </w:tc>
        <w:tc>
          <w:tcPr>
            <w:tcW w:w="2400" w:type="dxa"/>
            <w:tcBorders>
              <w:tl2br w:val="nil"/>
              <w:tr2bl w:val="nil"/>
            </w:tcBorders>
            <w:vAlign w:val="center"/>
          </w:tcPr>
          <w:p>
            <w:pPr>
              <w:widowControl/>
              <w:adjustRightInd w:val="0"/>
              <w:snapToGrid w:val="0"/>
              <w:spacing w:line="240" w:lineRule="exact"/>
              <w:jc w:val="center"/>
              <w:rPr>
                <w:rFonts w:ascii="仿宋_GB2312" w:eastAsia="仿宋_GB2312"/>
              </w:rPr>
            </w:pPr>
          </w:p>
          <w:p>
            <w:pPr>
              <w:spacing w:line="240" w:lineRule="exact"/>
              <w:jc w:val="center"/>
              <w:rPr>
                <w:rFonts w:ascii="仿宋_GB2312" w:eastAsia="仿宋_GB2312"/>
              </w:rPr>
            </w:pPr>
            <w:r>
              <w:rPr>
                <w:rFonts w:hint="eastAsia" w:ascii="仿宋_GB2312" w:eastAsia="仿宋_GB2312"/>
              </w:rPr>
              <w:t>分值20分，每少10%扣2分</w:t>
            </w:r>
          </w:p>
        </w:tc>
        <w:tc>
          <w:tcPr>
            <w:tcW w:w="3629"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准确发放工资补贴人数占享受补贴人数的比例</w:t>
            </w:r>
          </w:p>
        </w:tc>
        <w:tc>
          <w:tcPr>
            <w:tcW w:w="543"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w:t>
            </w:r>
          </w:p>
        </w:tc>
        <w:tc>
          <w:tcPr>
            <w:tcW w:w="488"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90</w:t>
            </w:r>
          </w:p>
        </w:tc>
        <w:tc>
          <w:tcPr>
            <w:tcW w:w="573"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w:t>
            </w:r>
          </w:p>
        </w:tc>
        <w:tc>
          <w:tcPr>
            <w:tcW w:w="1554"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按政策要求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20" w:hRule="atLeast"/>
          <w:jc w:val="center"/>
        </w:trPr>
        <w:tc>
          <w:tcPr>
            <w:tcW w:w="1187" w:type="dxa"/>
            <w:vMerge w:val="continue"/>
            <w:tcBorders>
              <w:tl2br w:val="nil"/>
              <w:tr2bl w:val="nil"/>
            </w:tcBorders>
            <w:vAlign w:val="center"/>
          </w:tcPr>
          <w:p>
            <w:pPr>
              <w:spacing w:line="240" w:lineRule="exact"/>
              <w:jc w:val="center"/>
              <w:rPr>
                <w:rFonts w:ascii="仿宋_GB2312" w:eastAsia="仿宋_GB2312"/>
              </w:rPr>
            </w:pPr>
          </w:p>
        </w:tc>
        <w:tc>
          <w:tcPr>
            <w:tcW w:w="920"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质量</w:t>
            </w:r>
          </w:p>
        </w:tc>
        <w:tc>
          <w:tcPr>
            <w:tcW w:w="1580"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保障党员学习教育正常开展</w:t>
            </w:r>
          </w:p>
        </w:tc>
        <w:tc>
          <w:tcPr>
            <w:tcW w:w="2400"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分值10分，未正常开展不得分</w:t>
            </w:r>
          </w:p>
        </w:tc>
        <w:tc>
          <w:tcPr>
            <w:tcW w:w="3629"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提高党员教育水平</w:t>
            </w:r>
          </w:p>
        </w:tc>
        <w:tc>
          <w:tcPr>
            <w:tcW w:w="543"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文字描述</w:t>
            </w:r>
          </w:p>
        </w:tc>
        <w:tc>
          <w:tcPr>
            <w:tcW w:w="488" w:type="dxa"/>
            <w:tcBorders>
              <w:tl2br w:val="nil"/>
              <w:tr2bl w:val="nil"/>
            </w:tcBorders>
            <w:vAlign w:val="center"/>
          </w:tcPr>
          <w:p>
            <w:pPr>
              <w:widowControl/>
              <w:adjustRightInd w:val="0"/>
              <w:snapToGrid w:val="0"/>
              <w:spacing w:line="240" w:lineRule="exact"/>
              <w:jc w:val="center"/>
              <w:rPr>
                <w:rFonts w:ascii="仿宋_GB2312" w:eastAsia="仿宋_GB2312"/>
              </w:rPr>
            </w:pPr>
          </w:p>
        </w:tc>
        <w:tc>
          <w:tcPr>
            <w:tcW w:w="573"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逐渐提高</w:t>
            </w:r>
          </w:p>
        </w:tc>
        <w:tc>
          <w:tcPr>
            <w:tcW w:w="1554"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按政策要求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20" w:hRule="atLeast"/>
          <w:jc w:val="center"/>
        </w:trPr>
        <w:tc>
          <w:tcPr>
            <w:tcW w:w="1187" w:type="dxa"/>
            <w:vMerge w:val="continue"/>
            <w:tcBorders>
              <w:tl2br w:val="nil"/>
              <w:tr2bl w:val="nil"/>
            </w:tcBorders>
            <w:vAlign w:val="center"/>
          </w:tcPr>
          <w:p>
            <w:pPr>
              <w:spacing w:line="240" w:lineRule="exact"/>
              <w:jc w:val="center"/>
              <w:rPr>
                <w:rFonts w:ascii="仿宋_GB2312" w:eastAsia="仿宋_GB2312"/>
              </w:rPr>
            </w:pPr>
          </w:p>
        </w:tc>
        <w:tc>
          <w:tcPr>
            <w:tcW w:w="920"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时效</w:t>
            </w:r>
          </w:p>
        </w:tc>
        <w:tc>
          <w:tcPr>
            <w:tcW w:w="1580"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重点工作完成及时率</w:t>
            </w:r>
          </w:p>
        </w:tc>
        <w:tc>
          <w:tcPr>
            <w:tcW w:w="2400"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分值10分，每拖延10天扣一分</w:t>
            </w:r>
          </w:p>
        </w:tc>
        <w:tc>
          <w:tcPr>
            <w:tcW w:w="3629"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及时</w:t>
            </w:r>
          </w:p>
        </w:tc>
        <w:tc>
          <w:tcPr>
            <w:tcW w:w="543"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文字描述</w:t>
            </w:r>
          </w:p>
        </w:tc>
        <w:tc>
          <w:tcPr>
            <w:tcW w:w="488" w:type="dxa"/>
            <w:tcBorders>
              <w:tl2br w:val="nil"/>
              <w:tr2bl w:val="nil"/>
            </w:tcBorders>
            <w:vAlign w:val="center"/>
          </w:tcPr>
          <w:p>
            <w:pPr>
              <w:widowControl/>
              <w:adjustRightInd w:val="0"/>
              <w:snapToGrid w:val="0"/>
              <w:spacing w:line="240" w:lineRule="exact"/>
              <w:jc w:val="center"/>
              <w:rPr>
                <w:rFonts w:ascii="仿宋_GB2312" w:eastAsia="仿宋_GB2312"/>
              </w:rPr>
            </w:pPr>
          </w:p>
        </w:tc>
        <w:tc>
          <w:tcPr>
            <w:tcW w:w="573"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及时完成</w:t>
            </w:r>
          </w:p>
        </w:tc>
        <w:tc>
          <w:tcPr>
            <w:tcW w:w="1554"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实际工作需要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20" w:hRule="atLeast"/>
          <w:jc w:val="center"/>
        </w:trPr>
        <w:tc>
          <w:tcPr>
            <w:tcW w:w="1187" w:type="dxa"/>
            <w:vMerge w:val="continue"/>
            <w:tcBorders>
              <w:tl2br w:val="nil"/>
              <w:tr2bl w:val="nil"/>
            </w:tcBorders>
            <w:vAlign w:val="center"/>
          </w:tcPr>
          <w:p>
            <w:pPr>
              <w:spacing w:line="240" w:lineRule="exact"/>
              <w:jc w:val="center"/>
              <w:rPr>
                <w:rFonts w:ascii="仿宋_GB2312" w:eastAsia="仿宋_GB2312"/>
              </w:rPr>
            </w:pPr>
          </w:p>
        </w:tc>
        <w:tc>
          <w:tcPr>
            <w:tcW w:w="920"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成本</w:t>
            </w:r>
          </w:p>
        </w:tc>
        <w:tc>
          <w:tcPr>
            <w:tcW w:w="1580" w:type="dxa"/>
            <w:tcBorders>
              <w:tl2br w:val="nil"/>
              <w:tr2bl w:val="nil"/>
            </w:tcBorders>
            <w:vAlign w:val="center"/>
          </w:tcPr>
          <w:p>
            <w:pPr>
              <w:widowControl/>
              <w:adjustRightInd w:val="0"/>
              <w:snapToGrid w:val="0"/>
              <w:spacing w:line="240" w:lineRule="exact"/>
              <w:ind w:firstLine="368"/>
              <w:jc w:val="center"/>
              <w:rPr>
                <w:rFonts w:ascii="仿宋_GB2312" w:eastAsia="仿宋_GB2312"/>
              </w:rPr>
            </w:pPr>
            <w:r>
              <w:rPr>
                <w:rFonts w:hint="eastAsia" w:ascii="仿宋_GB2312" w:eastAsia="仿宋_GB2312"/>
              </w:rPr>
              <w:t>资金成本</w:t>
            </w:r>
          </w:p>
        </w:tc>
        <w:tc>
          <w:tcPr>
            <w:tcW w:w="2400"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分值10分，每超支5%扣1分</w:t>
            </w:r>
          </w:p>
        </w:tc>
        <w:tc>
          <w:tcPr>
            <w:tcW w:w="3629"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资金成本</w:t>
            </w:r>
          </w:p>
        </w:tc>
        <w:tc>
          <w:tcPr>
            <w:tcW w:w="543"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文字描述</w:t>
            </w:r>
          </w:p>
        </w:tc>
        <w:tc>
          <w:tcPr>
            <w:tcW w:w="488" w:type="dxa"/>
            <w:tcBorders>
              <w:tl2br w:val="nil"/>
              <w:tr2bl w:val="nil"/>
            </w:tcBorders>
            <w:vAlign w:val="center"/>
          </w:tcPr>
          <w:p>
            <w:pPr>
              <w:widowControl/>
              <w:adjustRightInd w:val="0"/>
              <w:snapToGrid w:val="0"/>
              <w:spacing w:line="240" w:lineRule="exact"/>
              <w:jc w:val="center"/>
              <w:rPr>
                <w:rFonts w:ascii="仿宋_GB2312" w:eastAsia="仿宋_GB2312"/>
              </w:rPr>
            </w:pPr>
          </w:p>
        </w:tc>
        <w:tc>
          <w:tcPr>
            <w:tcW w:w="573"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按预算完成</w:t>
            </w:r>
          </w:p>
        </w:tc>
        <w:tc>
          <w:tcPr>
            <w:tcW w:w="1554" w:type="dxa"/>
            <w:tcBorders>
              <w:tl2br w:val="nil"/>
              <w:tr2bl w:val="nil"/>
            </w:tcBorders>
            <w:vAlign w:val="center"/>
          </w:tcPr>
          <w:p>
            <w:pPr>
              <w:widowControl/>
              <w:adjustRightInd w:val="0"/>
              <w:snapToGrid w:val="0"/>
              <w:spacing w:line="2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20" w:hRule="atLeast"/>
          <w:jc w:val="center"/>
        </w:trPr>
        <w:tc>
          <w:tcPr>
            <w:tcW w:w="1187" w:type="dxa"/>
            <w:vMerge w:val="restart"/>
            <w:tcBorders>
              <w:tl2br w:val="nil"/>
              <w:tr2bl w:val="nil"/>
            </w:tcBorders>
            <w:vAlign w:val="center"/>
          </w:tcPr>
          <w:p>
            <w:pPr>
              <w:adjustRightInd w:val="0"/>
              <w:snapToGrid w:val="0"/>
              <w:spacing w:line="240" w:lineRule="exact"/>
              <w:jc w:val="center"/>
              <w:rPr>
                <w:rFonts w:ascii="仿宋_GB2312" w:eastAsia="仿宋_GB2312"/>
              </w:rPr>
            </w:pPr>
            <w:r>
              <w:rPr>
                <w:rFonts w:hint="eastAsia" w:ascii="仿宋_GB2312" w:eastAsia="仿宋_GB2312"/>
              </w:rPr>
              <w:t>部门效果</w:t>
            </w:r>
          </w:p>
        </w:tc>
        <w:tc>
          <w:tcPr>
            <w:tcW w:w="920"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社会</w:t>
            </w:r>
          </w:p>
          <w:p>
            <w:pPr>
              <w:widowControl/>
              <w:adjustRightInd w:val="0"/>
              <w:snapToGrid w:val="0"/>
              <w:spacing w:line="240" w:lineRule="exact"/>
              <w:jc w:val="center"/>
              <w:rPr>
                <w:rFonts w:ascii="仿宋_GB2312" w:eastAsia="仿宋_GB2312"/>
              </w:rPr>
            </w:pPr>
            <w:r>
              <w:rPr>
                <w:rFonts w:hint="eastAsia" w:ascii="仿宋_GB2312" w:eastAsia="仿宋_GB2312"/>
              </w:rPr>
              <w:t>效益</w:t>
            </w:r>
          </w:p>
        </w:tc>
        <w:tc>
          <w:tcPr>
            <w:tcW w:w="1580" w:type="dxa"/>
            <w:tcBorders>
              <w:tl2br w:val="nil"/>
              <w:tr2bl w:val="nil"/>
            </w:tcBorders>
            <w:vAlign w:val="center"/>
          </w:tcPr>
          <w:p>
            <w:pPr>
              <w:widowControl/>
              <w:adjustRightInd w:val="0"/>
              <w:snapToGrid w:val="0"/>
              <w:spacing w:line="240" w:lineRule="exact"/>
              <w:ind w:firstLine="404"/>
              <w:jc w:val="center"/>
              <w:rPr>
                <w:rFonts w:ascii="仿宋_GB2312" w:eastAsia="仿宋_GB2312"/>
              </w:rPr>
            </w:pPr>
            <w:r>
              <w:rPr>
                <w:rFonts w:hint="eastAsia" w:ascii="仿宋_GB2312" w:eastAsia="仿宋_GB2312"/>
              </w:rPr>
              <w:t>突发事件处理效果</w:t>
            </w:r>
          </w:p>
        </w:tc>
        <w:tc>
          <w:tcPr>
            <w:tcW w:w="2400"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分值20分，每少10%扣2分</w:t>
            </w:r>
          </w:p>
        </w:tc>
        <w:tc>
          <w:tcPr>
            <w:tcW w:w="3629"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反映突发事件是否能够得到及时发现并妥善处理</w:t>
            </w:r>
          </w:p>
        </w:tc>
        <w:tc>
          <w:tcPr>
            <w:tcW w:w="543"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w:t>
            </w:r>
          </w:p>
        </w:tc>
        <w:tc>
          <w:tcPr>
            <w:tcW w:w="488"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90</w:t>
            </w:r>
          </w:p>
        </w:tc>
        <w:tc>
          <w:tcPr>
            <w:tcW w:w="573"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w:t>
            </w:r>
          </w:p>
        </w:tc>
        <w:tc>
          <w:tcPr>
            <w:tcW w:w="1554"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按政策要求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20" w:hRule="atLeast"/>
          <w:jc w:val="center"/>
        </w:trPr>
        <w:tc>
          <w:tcPr>
            <w:tcW w:w="1187" w:type="dxa"/>
            <w:vMerge w:val="continue"/>
            <w:tcBorders>
              <w:tl2br w:val="nil"/>
              <w:tr2bl w:val="nil"/>
            </w:tcBorders>
            <w:vAlign w:val="center"/>
          </w:tcPr>
          <w:p>
            <w:pPr>
              <w:spacing w:line="240" w:lineRule="exact"/>
              <w:jc w:val="center"/>
              <w:rPr>
                <w:rFonts w:ascii="仿宋_GB2312" w:eastAsia="仿宋_GB2312"/>
              </w:rPr>
            </w:pPr>
          </w:p>
        </w:tc>
        <w:tc>
          <w:tcPr>
            <w:tcW w:w="920"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满意度</w:t>
            </w:r>
          </w:p>
        </w:tc>
        <w:tc>
          <w:tcPr>
            <w:tcW w:w="1580" w:type="dxa"/>
            <w:tcBorders>
              <w:tl2br w:val="nil"/>
              <w:tr2bl w:val="nil"/>
            </w:tcBorders>
            <w:noWrap/>
            <w:vAlign w:val="center"/>
          </w:tcPr>
          <w:p>
            <w:pPr>
              <w:widowControl/>
              <w:adjustRightInd w:val="0"/>
              <w:snapToGrid w:val="0"/>
              <w:spacing w:line="240" w:lineRule="exact"/>
              <w:ind w:firstLine="260"/>
              <w:jc w:val="center"/>
              <w:rPr>
                <w:rFonts w:ascii="仿宋_GB2312" w:eastAsia="仿宋_GB2312"/>
              </w:rPr>
            </w:pPr>
            <w:r>
              <w:rPr>
                <w:rFonts w:hint="eastAsia" w:ascii="仿宋_GB2312" w:eastAsia="仿宋_GB2312"/>
              </w:rPr>
              <w:t>服务对象满意度指标</w:t>
            </w:r>
          </w:p>
        </w:tc>
        <w:tc>
          <w:tcPr>
            <w:tcW w:w="2400" w:type="dxa"/>
            <w:tcBorders>
              <w:tl2br w:val="nil"/>
              <w:tr2bl w:val="nil"/>
            </w:tcBorders>
            <w:noWrap/>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分值20分，每少10%扣2</w:t>
            </w:r>
          </w:p>
        </w:tc>
        <w:tc>
          <w:tcPr>
            <w:tcW w:w="3629" w:type="dxa"/>
            <w:tcBorders>
              <w:tl2br w:val="nil"/>
              <w:tr2bl w:val="nil"/>
            </w:tcBorders>
            <w:noWrap/>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接受服务的群众满意度调查达到完全满意或满意的占全部调查对象的比例</w:t>
            </w:r>
          </w:p>
        </w:tc>
        <w:tc>
          <w:tcPr>
            <w:tcW w:w="543"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w:t>
            </w:r>
          </w:p>
        </w:tc>
        <w:tc>
          <w:tcPr>
            <w:tcW w:w="488"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90</w:t>
            </w:r>
          </w:p>
        </w:tc>
        <w:tc>
          <w:tcPr>
            <w:tcW w:w="573"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w:t>
            </w:r>
          </w:p>
        </w:tc>
        <w:tc>
          <w:tcPr>
            <w:tcW w:w="1554"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调查指标</w:t>
            </w:r>
          </w:p>
        </w:tc>
      </w:tr>
    </w:tbl>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1.机关事务管理经费绩效目标表</w:t>
      </w:r>
      <w:bookmarkEnd w:id="0"/>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1.维持机关正常运转，更好的服务村街及社区 居民，更好的完成上级交办的各项工作</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保障机关数</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保障机关数</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1个</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规定时间</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拨付时间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资金成本</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≤60万元/年</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维持机关办公正常运转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维持机关办公正常运转</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维持机关办公正常运转</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机关人员满意度</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机关人员满意度</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1" w:name="_Toc_4_4_0000000005"/>
      <w:r>
        <w:rPr>
          <w:rFonts w:hint="eastAsia" w:ascii="仿宋_GB2312" w:hAnsi="仿宋_GB2312" w:eastAsia="仿宋_GB2312" w:cs="仿宋_GB2312"/>
          <w:color w:val="000000"/>
          <w:sz w:val="28"/>
        </w:rPr>
        <w:t>2.2021年第二批农村综合改革示范试点补助资金绩效目标表</w:t>
      </w:r>
      <w:bookmarkEnd w:id="1"/>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1.做好我镇推进乡村振兴战略实施，充分农村综合改革资金引导作用，切实做好农村综合改革示范村建设工作。</w:t>
            </w:r>
          </w:p>
          <w:p>
            <w:pPr>
              <w:pStyle w:val="14"/>
              <w:rPr>
                <w:rFonts w:hint="eastAsia" w:ascii="仿宋_GB2312" w:hAnsi="仿宋_GB2312" w:eastAsia="仿宋_GB2312" w:cs="仿宋_GB2312"/>
              </w:rPr>
            </w:pPr>
            <w:r>
              <w:rPr>
                <w:rFonts w:hint="eastAsia" w:ascii="仿宋_GB2312" w:hAnsi="仿宋_GB2312" w:eastAsia="仿宋_GB2312" w:cs="仿宋_GB2312"/>
              </w:rPr>
              <w:t>2.做好我镇推进乡村振兴战略实施，充分农村综合改革资金引导作用，切实做好农村综合改革示范村建设工作。</w:t>
            </w:r>
          </w:p>
          <w:p>
            <w:pPr>
              <w:pStyle w:val="14"/>
              <w:rPr>
                <w:rFonts w:hint="eastAsia" w:ascii="仿宋_GB2312" w:hAnsi="仿宋_GB2312" w:eastAsia="仿宋_GB2312" w:cs="仿宋_GB2312"/>
              </w:rPr>
            </w:pPr>
            <w:r>
              <w:rPr>
                <w:rFonts w:hint="eastAsia" w:ascii="仿宋_GB2312" w:hAnsi="仿宋_GB2312" w:eastAsia="仿宋_GB2312" w:cs="仿宋_GB2312"/>
              </w:rPr>
              <w:t>3.做好我镇推进乡村振兴战略实施，充分农村综合改革资金引导作用，切实做好农村综合改革示范村建设工作。</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示范村数量</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示范村数量</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1个/村</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工程合格率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按期完成工程的合格率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按计划完成工及时率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按计划完成及时率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开展此项工作所需资金成本</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≤200万元</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廊财农【2021】36号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村街环境改善、整体形象提升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村街环境改善、整体形象提升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村街环境改善、整体形象提升</w:t>
            </w:r>
          </w:p>
        </w:tc>
        <w:tc>
          <w:tcPr>
            <w:tcW w:w="714" w:type="pct"/>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村街环境改善</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村街环境改善、提升整体形象</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逐步提升</w:t>
            </w:r>
          </w:p>
        </w:tc>
        <w:tc>
          <w:tcPr>
            <w:tcW w:w="714" w:type="pct"/>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效益对象满意度</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调查中满意和较满意的村民数量占总人数比例</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2" w:name="_Toc_4_4_0000000006"/>
      <w:r>
        <w:rPr>
          <w:rFonts w:hint="eastAsia" w:ascii="仿宋_GB2312" w:hAnsi="仿宋_GB2312" w:eastAsia="仿宋_GB2312" w:cs="仿宋_GB2312"/>
          <w:color w:val="000000"/>
          <w:sz w:val="28"/>
        </w:rPr>
        <w:t>3.2021年市级农村公益事业财政奖补资金绩效目标表</w:t>
      </w:r>
      <w:bookmarkEnd w:id="2"/>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为扎实做好2021年村级“一事一议”财政奖补工作，促进村级公益事业发展，为了使有良好的路面不被雨水冲浊，所以用沥青或水泥铺路面，有良好的路面才能促进城镇和经济发展。随着社会的进步与发展，对创建文明城市进行墙体美化使居民生活环境得到提高。</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改造村数量</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改造提升重点村数量</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5个/村</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廊财农【2021】18号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项目达标率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一事一议项目建设达标率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按计划完工及时率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按计划完工及时率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开展此项工作所需资金成本</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≤150万元</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廊财农【2021】18号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提升村街一事一议服务水平</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提升村街一事一议服务水平</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逐步提升</w:t>
            </w:r>
          </w:p>
        </w:tc>
        <w:tc>
          <w:tcPr>
            <w:tcW w:w="714" w:type="pct"/>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环境改善情况</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环境改善情况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有效提高</w:t>
            </w:r>
          </w:p>
        </w:tc>
        <w:tc>
          <w:tcPr>
            <w:tcW w:w="714" w:type="pct"/>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村民满意度</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调查中满意和较满意的村民数量占总人数比例</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ind w:firstLine="560"/>
        <w:jc w:val="left"/>
        <w:outlineLvl w:val="3"/>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3" w:name="_Toc_4_4_0000000007"/>
      <w:r>
        <w:rPr>
          <w:rFonts w:hint="eastAsia" w:ascii="仿宋_GB2312" w:hAnsi="仿宋_GB2312" w:eastAsia="仿宋_GB2312" w:cs="仿宋_GB2312"/>
          <w:color w:val="000000"/>
          <w:sz w:val="28"/>
        </w:rPr>
        <w:t>4.2021年市级农村综合改革转移支付资金绩效目标表</w:t>
      </w:r>
      <w:bookmarkEnd w:id="3"/>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1.推进农村综合改革战略，切实做好我镇各项农村综合改革工作。</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政策宣传次数</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政策宣传次数</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≥1次/月</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购买办公用品的合格率</w:t>
            </w:r>
          </w:p>
          <w:p>
            <w:pPr>
              <w:pStyle w:val="14"/>
              <w:rPr>
                <w:rFonts w:hint="eastAsia" w:ascii="仿宋_GB2312" w:hAnsi="仿宋_GB2312" w:eastAsia="仿宋_GB2312" w:cs="仿宋_GB2312"/>
              </w:rPr>
            </w:pP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合格的办公用品占购买办公用品的比率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宣传开展及时</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宣传开展及时</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开展此项工作所需资金成本</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≤7万元</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廊财农【2021】39号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提升我镇各项农村综合改革工作</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提升我镇各项农村综合改革工作</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逐步提高</w:t>
            </w:r>
          </w:p>
        </w:tc>
        <w:tc>
          <w:tcPr>
            <w:tcW w:w="714" w:type="pct"/>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专项资金投入产生效益</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专项资金投入产生效益</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持续产出效益</w:t>
            </w:r>
          </w:p>
        </w:tc>
        <w:tc>
          <w:tcPr>
            <w:tcW w:w="714" w:type="pct"/>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村民满意度</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调查中满意和较满意的村民数量占总人数比例</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4" w:name="_Toc_4_4_0000000008"/>
      <w:r>
        <w:rPr>
          <w:rFonts w:hint="eastAsia" w:ascii="仿宋_GB2312" w:hAnsi="仿宋_GB2312" w:eastAsia="仿宋_GB2312" w:cs="仿宋_GB2312"/>
          <w:color w:val="000000"/>
          <w:sz w:val="28"/>
        </w:rPr>
        <w:t>5.2021年中央农村综合改革转移支付资金绩效目标表</w:t>
      </w:r>
      <w:bookmarkEnd w:id="4"/>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1.为扎实做好2021年村级“一事一议”工作，为了使有良好的路面不被雨水冲浊，所以用沥青或水泥铺路面，有良好的路面才能促进城镇和经济发展，确保顺利完成促进村级事业发展以及经济发展的目标.</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改造村数量</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改造提升重点村数量</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2个/村</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廊财农{2021]56号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项目达标率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一事一议项目建设达标率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按计划完工及时率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按计划完工及时率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开展此项工作所需资金成本</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≤44万元</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廊财农【2021】18号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提升村街一事一议服务水平</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提升村街一事一议服务水平</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逐步提高</w:t>
            </w:r>
          </w:p>
        </w:tc>
        <w:tc>
          <w:tcPr>
            <w:tcW w:w="714" w:type="pct"/>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环境改善情况</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环境改善情况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有效提高</w:t>
            </w:r>
          </w:p>
        </w:tc>
        <w:tc>
          <w:tcPr>
            <w:tcW w:w="714" w:type="pct"/>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村民满意度</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调查中满意和较满意的村民数量占总人数比例</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5" w:name="_Toc_4_4_0000000009"/>
      <w:r>
        <w:rPr>
          <w:rFonts w:hint="eastAsia" w:ascii="仿宋_GB2312" w:hAnsi="仿宋_GB2312" w:eastAsia="仿宋_GB2312" w:cs="仿宋_GB2312"/>
          <w:color w:val="000000"/>
          <w:sz w:val="28"/>
        </w:rPr>
        <w:t>6.2021年中央专项彩票公益金支持地方社会公益事业发展资金绩效目标表</w:t>
      </w:r>
      <w:bookmarkEnd w:id="5"/>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1.全面推进九州镇中学教育现代化建设，进一步改善教学条件，保证学生正常课外活动及体育活动。</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项目实施总面积</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项目实施总面积</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16000平米</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项目规划编制完整性、合规性</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项目规划编制完整性、合规性</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验收合格率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验收合格率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工作任务及时完成率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工作任务按计划完成</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预算成本</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≤430.19万元</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廊广财农【2021】30号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教育水平提高</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教育水平提高</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有效提高</w:t>
            </w:r>
          </w:p>
        </w:tc>
        <w:tc>
          <w:tcPr>
            <w:tcW w:w="714" w:type="pct"/>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项目实施受益人数</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项目实施受益人数</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≥650人</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环境努力改善的程度</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环境努力改善的程度</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学校的教育能力和水平</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学校的教育能力和水平</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持续提高</w:t>
            </w:r>
          </w:p>
        </w:tc>
        <w:tc>
          <w:tcPr>
            <w:tcW w:w="714" w:type="pct"/>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受益人群满意度</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受益人群满意度</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6" w:name="_Toc_4_4_0000000010"/>
      <w:r>
        <w:rPr>
          <w:rFonts w:hint="eastAsia" w:ascii="仿宋_GB2312" w:hAnsi="仿宋_GB2312" w:eastAsia="仿宋_GB2312" w:cs="仿宋_GB2312"/>
          <w:color w:val="000000"/>
          <w:sz w:val="28"/>
        </w:rPr>
        <w:t>7.拆除违建工作经费绩效目标表</w:t>
      </w:r>
      <w:bookmarkEnd w:id="6"/>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1.清理九州镇辖区及主要公路沿线未经审批，擅自新建、翻建、改建、扩建的各类违章建筑</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巡查、宣传数量</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日常巡查宣传数量</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≥4次/月</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拆违完成率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拆违完成率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拆违及时率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拆除违建及时率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资金成本</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≤30万元</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提升镇辖区容纳率，减少违法建筑</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提升镇辖区容纳率，减少违法建筑</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群众较为满意</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群众对镇容镇貌较为满意</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7" w:name="_Toc_4_4_0000000011"/>
      <w:r>
        <w:rPr>
          <w:rFonts w:hint="eastAsia" w:ascii="仿宋_GB2312" w:hAnsi="仿宋_GB2312" w:eastAsia="仿宋_GB2312" w:cs="仿宋_GB2312"/>
          <w:color w:val="000000"/>
          <w:sz w:val="28"/>
        </w:rPr>
        <w:t>8.村党组织活动经费[区级]绩效目标表</w:t>
      </w:r>
      <w:bookmarkEnd w:id="7"/>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1.三会一课开展顺利,提升基层党建整体水平，保障村党组织活动顺利开展，提高村级服务管理水平。</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村街数量</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需要经费予以保障的村街数</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31个/村</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反映各党组织工作保障情况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反映及时保障各党组织经费需要情况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单位成本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反映村级党组织经费单位成本</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1.1万元/年/村</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提升基层党建整体工作水平</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反应提升基层党建整体工作水平</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进一步提升基层党建整体工作水平</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辖区村街党员满意度</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调查中对村街党组织发挥作用满意和较满意党员数占调查总人数的比率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8" w:name="_Toc_4_4_0000000012"/>
      <w:r>
        <w:rPr>
          <w:rFonts w:hint="eastAsia" w:ascii="仿宋_GB2312" w:hAnsi="仿宋_GB2312" w:eastAsia="仿宋_GB2312" w:cs="仿宋_GB2312"/>
          <w:color w:val="000000"/>
          <w:sz w:val="28"/>
        </w:rPr>
        <w:t>9.村干部基本报酬[区级]绩效目标表</w:t>
      </w:r>
      <w:bookmarkEnd w:id="8"/>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1.保障村干部基本生产生活需要，提高村干部履职能力，提升村干部干事创业热情。</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村干部人数</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村干部享受此项待遇人员数</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≤163人</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补贴发放覆盖率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反映已补助人数占应补助人数的比例</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补贴发放及时率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反映补贴发放及时情况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一人兼补贴标准</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≤4410.75元/人/月</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顾问补贴标准</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≤2940.5元/人/月</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村主任补贴标准</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≤2205.37元/人/月</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其他两委补贴标准</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≤1455.25元/人/月</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村街“两委”班子履职合格率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两委班子履职合格村街数与村街总数的比率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辖区村街村干部满意度</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调查中对村务工作满意和较满意村干部数占调查总人数的比率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9" w:name="_Toc_4_4_0000000013"/>
      <w:r>
        <w:rPr>
          <w:rFonts w:hint="eastAsia" w:ascii="仿宋_GB2312" w:hAnsi="仿宋_GB2312" w:eastAsia="仿宋_GB2312" w:cs="仿宋_GB2312"/>
          <w:color w:val="000000"/>
          <w:sz w:val="28"/>
        </w:rPr>
        <w:t>10.村级组织办公经费[区级]绩效目标表</w:t>
      </w:r>
      <w:bookmarkEnd w:id="9"/>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1.主要用于必要的办公用品费、办公设施维护费、水电暖费、报纸征订费等维持村级组织正常运转所必需的开支。一般按照不低于每年村均2万元的标准确定。</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村街数量</w:t>
            </w:r>
          </w:p>
          <w:p>
            <w:pPr>
              <w:pStyle w:val="14"/>
              <w:rPr>
                <w:rFonts w:hint="eastAsia" w:ascii="仿宋_GB2312" w:hAnsi="仿宋_GB2312" w:eastAsia="仿宋_GB2312" w:cs="仿宋_GB2312"/>
              </w:rPr>
            </w:pP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需要经费予以保障的村街数</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31村</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运转保障率</w:t>
            </w:r>
          </w:p>
          <w:p>
            <w:pPr>
              <w:pStyle w:val="14"/>
              <w:rPr>
                <w:rFonts w:hint="eastAsia" w:ascii="仿宋_GB2312" w:hAnsi="仿宋_GB2312" w:eastAsia="仿宋_GB2312" w:cs="仿宋_GB2312"/>
              </w:rPr>
            </w:pP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反映各项日常工作保障情况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p>
          <w:p>
            <w:pPr>
              <w:pStyle w:val="14"/>
              <w:rPr>
                <w:rFonts w:hint="eastAsia" w:ascii="仿宋_GB2312" w:hAnsi="仿宋_GB2312" w:eastAsia="仿宋_GB2312" w:cs="仿宋_GB2312"/>
              </w:rPr>
            </w:pPr>
            <w:r>
              <w:rPr>
                <w:rFonts w:hint="eastAsia" w:ascii="仿宋_GB2312" w:hAnsi="仿宋_GB2312" w:eastAsia="仿宋_GB2312" w:cs="仿宋_GB2312"/>
              </w:rPr>
              <w:t>经费保障及时率</w:t>
            </w:r>
          </w:p>
          <w:p>
            <w:pPr>
              <w:pStyle w:val="14"/>
              <w:rPr>
                <w:rFonts w:hint="eastAsia" w:ascii="仿宋_GB2312" w:hAnsi="仿宋_GB2312" w:eastAsia="仿宋_GB2312" w:cs="仿宋_GB2312"/>
              </w:rPr>
            </w:pP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反映及时保障各项日常办公需要情况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单位成本</w:t>
            </w:r>
          </w:p>
          <w:p>
            <w:pPr>
              <w:pStyle w:val="14"/>
              <w:rPr>
                <w:rFonts w:hint="eastAsia" w:ascii="仿宋_GB2312" w:hAnsi="仿宋_GB2312" w:eastAsia="仿宋_GB2312" w:cs="仿宋_GB2312"/>
              </w:rPr>
            </w:pP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反映村级组织办公经费单位成本</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2万元/年/村</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保障村级组织各项工作正常运转</w:t>
            </w:r>
          </w:p>
          <w:p>
            <w:pPr>
              <w:pStyle w:val="14"/>
              <w:rPr>
                <w:rFonts w:hint="eastAsia" w:ascii="仿宋_GB2312" w:hAnsi="仿宋_GB2312" w:eastAsia="仿宋_GB2312" w:cs="仿宋_GB2312"/>
              </w:rPr>
            </w:pP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反映村街正常运转情况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进一步提高</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辖区村街村民满意度</w:t>
            </w:r>
          </w:p>
          <w:p>
            <w:pPr>
              <w:pStyle w:val="14"/>
              <w:rPr>
                <w:rFonts w:hint="eastAsia" w:ascii="仿宋_GB2312" w:hAnsi="仿宋_GB2312" w:eastAsia="仿宋_GB2312" w:cs="仿宋_GB2312"/>
              </w:rPr>
            </w:pP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调查中对村街办公活动满意和较满意村民数占调查总人数的比率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10" w:name="_Toc_4_4_0000000014"/>
      <w:r>
        <w:rPr>
          <w:rFonts w:hint="eastAsia" w:ascii="仿宋_GB2312" w:hAnsi="仿宋_GB2312" w:eastAsia="仿宋_GB2312" w:cs="仿宋_GB2312"/>
          <w:color w:val="000000"/>
          <w:sz w:val="28"/>
        </w:rPr>
        <w:t>11.村级组织运转经费[市级]绩效目标表</w:t>
      </w:r>
      <w:bookmarkEnd w:id="10"/>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1.保障村干部基本生产生活需要，提高村干部履职能力，提升村干部干事创业热情。</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村干部人数</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村干部享受此项待遇人员数</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≤163人</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补贴发放覆盖率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反映已补助人数占应补助人数的比例</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补贴发放及时率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反映补贴发放及时情况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一人兼补贴标准</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≤4410.75元/人/月</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顾问补贴标准</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≤2940.5元/人/月</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村主任补贴标准</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≤2205.37元/人/月</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其他两委补贴标准</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≤1455.25元/人/月</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村街“两委”班子履职合格率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两委班子履职合格村街数与村街总数的比率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辖区村街村干部满意度</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调查中对村务工作满意和较满意村干部数占调查总人数的比率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11" w:name="_Toc_4_4_0000000015"/>
      <w:r>
        <w:rPr>
          <w:rFonts w:hint="eastAsia" w:ascii="仿宋_GB2312" w:hAnsi="仿宋_GB2312" w:eastAsia="仿宋_GB2312" w:cs="仿宋_GB2312"/>
          <w:color w:val="000000"/>
          <w:sz w:val="28"/>
        </w:rPr>
        <w:t>12.村民小组长误工补贴[区级]绩效目标表</w:t>
      </w:r>
      <w:bookmarkEnd w:id="11"/>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1.提高村民小组长工作积极性，按时按季度发放村民小组长误工补贴。</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村街数量</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需要经费予以保障的村街数</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31村</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反映各村小组长工作保障情况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反映及时保障各村小组长工作情况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单位成本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反映村小组长工作经费单位成本</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0.3万元</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提高小组长工作积极性</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反映提高村民小组长工作积极性，发挥带头作用情况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进一步提高</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辖区村街村民小组长满意度</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调查中对村务工作满意和较满意村民小组长数占调查总人数的比率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12" w:name="_Toc_4_4_0000000016"/>
      <w:r>
        <w:rPr>
          <w:rFonts w:hint="eastAsia" w:ascii="仿宋_GB2312" w:hAnsi="仿宋_GB2312" w:eastAsia="仿宋_GB2312" w:cs="仿宋_GB2312"/>
          <w:color w:val="000000"/>
          <w:sz w:val="28"/>
        </w:rPr>
        <w:t>13.非公办教师经费绩效目标表</w:t>
      </w:r>
      <w:bookmarkEnd w:id="12"/>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1.提升学校教师队伍的整体水平，按时按月发放5名民师的工资，及时足额缴纳各项保险，保证教师各项福利</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教师享受此项待遇人员数</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5人</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个人保险申报率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反映保险申报情况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工资足额发放率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反映足额发放工资与总发放工资的比率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区政府会议纪要[2008]3号文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工资发放及时率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准时发放工资的次数与总发放工资次数的比率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非公办教师人员工资标准</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2500元/人/月</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区政府会议纪要[2008]3号文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保险成本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非公办教师人员保险标准</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≤1580元/人/月</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促进非公办教师队伍的整体稳定，提升师资水平</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反映促进非公办教师队伍的整体稳定提升师资水平情况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进一步提升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非公办教师满意度</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调查满意和较满意的非公办教师占调查总人数的比率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13" w:name="_Toc_4_4_0000000017"/>
      <w:r>
        <w:rPr>
          <w:rFonts w:hint="eastAsia" w:ascii="仿宋_GB2312" w:hAnsi="仿宋_GB2312" w:eastAsia="仿宋_GB2312" w:cs="仿宋_GB2312"/>
          <w:color w:val="000000"/>
          <w:sz w:val="28"/>
        </w:rPr>
        <w:t>14.服务群众专项经费[区级]绩效目标表</w:t>
      </w:r>
      <w:bookmarkEnd w:id="13"/>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1.提高村级组织服务群众能力，按时按季度发放服务群众专项经费。</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村街数量</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需要经费予以保障的村街数</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31村</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反映各项服务群众工作保障情况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反映及时保障各项服务群众办公需要情况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反映村级组织服务群众经费单位成本</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10万元/年/村</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村街正常运转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反映村街正常运转情况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进一步提高</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辖区村街村民满意度</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调查中对村街服务群众活动满意和较满意村民数占调查总人数的比率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14" w:name="_Toc_4_4_0000000018"/>
      <w:r>
        <w:rPr>
          <w:rFonts w:hint="eastAsia" w:ascii="仿宋_GB2312" w:hAnsi="仿宋_GB2312" w:eastAsia="仿宋_GB2312" w:cs="仿宋_GB2312"/>
          <w:color w:val="000000"/>
          <w:sz w:val="28"/>
        </w:rPr>
        <w:t>15.环境治理工作经费绩效目标表</w:t>
      </w:r>
      <w:bookmarkEnd w:id="14"/>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1.我镇按照属地管理切实履行环境“脏、乱、差”整治主体责任，要落实责任制，对环境“脏、乱、差”施行最严密的管理整治，实现“脏、乱、差”企业整治的持久化，长效化的目标</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7"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实施建制村数量</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实施建制村数量</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31村</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7"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脏污处理的比例</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脏污处理的比例</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7"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日常巡查，维护效率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日常巡查，维护效率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7"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资金成本</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≤46万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7"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生态环境治理</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生态环境治理</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7"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15" w:name="_Toc_4_4_0000000019"/>
      <w:r>
        <w:rPr>
          <w:rFonts w:hint="eastAsia" w:ascii="仿宋_GB2312" w:hAnsi="仿宋_GB2312" w:eastAsia="仿宋_GB2312" w:cs="仿宋_GB2312"/>
          <w:color w:val="000000"/>
          <w:sz w:val="28"/>
        </w:rPr>
        <w:t>16.疫情防控工作经费绩效目标表</w:t>
      </w:r>
      <w:bookmarkEnd w:id="15"/>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4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工作经费主要用于防控宣传、排查管控、消毒防疫，购买疫情防控物资等，坚决遏制疫情蔓延势头，坚决打赢疫情防控阻击战，要重点抓好防治力量的区域统筹，坚决把救治资源和防护资源集中到抗疫情第一线。</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2024"/>
        <w:gridCol w:w="2024"/>
        <w:gridCol w:w="4048"/>
        <w:gridCol w:w="2024"/>
        <w:gridCol w:w="20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宣传次数</w:t>
            </w:r>
          </w:p>
        </w:tc>
        <w:tc>
          <w:tcPr>
            <w:tcW w:w="1428"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防疫防控宣传次数</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≥3次/月</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宣传政策覆盖率</w:t>
            </w:r>
          </w:p>
        </w:tc>
        <w:tc>
          <w:tcPr>
            <w:tcW w:w="1428"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覆盖辖区所有村街</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防控工作宣传率</w:t>
            </w:r>
          </w:p>
        </w:tc>
        <w:tc>
          <w:tcPr>
            <w:tcW w:w="1428"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张贴标语，发放公告，悬挂条幅等</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运行保障成本</w:t>
            </w:r>
          </w:p>
        </w:tc>
        <w:tc>
          <w:tcPr>
            <w:tcW w:w="1428"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合理保障运行成本</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≤36万元</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辖区稳定性</w:t>
            </w:r>
          </w:p>
        </w:tc>
        <w:tc>
          <w:tcPr>
            <w:tcW w:w="1428"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通过途径及宣传减少疫情恐慌保障群众正常生活</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辖区村民对政府的满意度</w:t>
            </w:r>
          </w:p>
        </w:tc>
        <w:tc>
          <w:tcPr>
            <w:tcW w:w="1428"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疫情宣传及防控工作及辖区村民比较满意</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问卷调查</w:t>
            </w:r>
          </w:p>
        </w:tc>
      </w:tr>
    </w:tbl>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6"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16"/>
    <w:p>
      <w:pPr>
        <w:jc w:val="center"/>
        <w:outlineLvl w:val="1"/>
        <w:rPr>
          <w:rFonts w:ascii="方正小标宋_GBK" w:eastAsia="方正小标宋_GBK" w:cs="Times New Roman"/>
          <w:sz w:val="32"/>
        </w:rPr>
      </w:pPr>
      <w:bookmarkStart w:id="17" w:name="_Toc64920910"/>
      <w:r>
        <w:rPr>
          <w:rFonts w:hint="eastAsia" w:ascii="方正小标宋_GBK" w:eastAsia="方正小标宋_GBK" w:cs="Times New Roman"/>
          <w:sz w:val="32"/>
        </w:rPr>
        <w:t>部门政府采购预算</w:t>
      </w:r>
      <w:bookmarkEnd w:id="17"/>
    </w:p>
    <w:p>
      <w:pPr>
        <w:outlineLvl w:val="1"/>
        <w:rPr>
          <w:rFonts w:ascii="方正小标宋_GBK" w:eastAsia="方正小标宋_GBK" w:cs="Times New Roman"/>
          <w:sz w:val="32"/>
        </w:rPr>
      </w:pPr>
      <w:r>
        <w:rPr>
          <w:rFonts w:hint="eastAsia"/>
          <w:lang w:val="en-US" w:eastAsia="zh-CN"/>
        </w:rPr>
        <w:t>廊坊市广阳区九州镇人民政府</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九州镇人民政府</w:t>
      </w:r>
      <w:r>
        <w:rPr>
          <w:rFonts w:ascii="Times New Roman" w:hAnsi="Times New Roman" w:eastAsia="仿宋_GB2312" w:cs="Times New Roman"/>
          <w:sz w:val="32"/>
          <w:szCs w:val="32"/>
        </w:rPr>
        <w:t>（含所属单位）上年末固定资产金额为528.3万元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lang w:eastAsia="zh-CN"/>
              </w:rPr>
              <w:t>广阳区</w:t>
            </w:r>
            <w:r>
              <w:rPr>
                <w:rFonts w:hint="eastAsia" w:ascii="Times New Roman" w:hAnsi="Times New Roman" w:eastAsia="仿宋_GB2312" w:cs="Times New Roman"/>
                <w:kern w:val="0"/>
                <w:sz w:val="22"/>
              </w:rPr>
              <w:t xml:space="preserve">九州镇人民政府 </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kern w:val="2"/>
                <w:sz w:val="22"/>
                <w:szCs w:val="22"/>
                <w:lang w:val="en-US" w:eastAsia="zh-CN" w:bidi="ar-SA"/>
              </w:rPr>
            </w:pPr>
            <w:r>
              <w:rPr>
                <w:rFonts w:ascii="Times New Roman" w:hAnsi="Times New Roman" w:eastAsia="仿宋_GB2312" w:cs="Times New Roman"/>
                <w:sz w:val="22"/>
              </w:rPr>
              <w:t>528.3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10455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kern w:val="2"/>
                <w:sz w:val="22"/>
                <w:szCs w:val="22"/>
                <w:lang w:val="en-US" w:eastAsia="zh-CN" w:bidi="ar-SA"/>
              </w:rPr>
            </w:pPr>
            <w:r>
              <w:rPr>
                <w:rFonts w:ascii="Times New Roman" w:hAnsi="Times New Roman" w:eastAsia="仿宋_GB2312" w:cs="Times New Roman"/>
                <w:sz w:val="22"/>
              </w:rPr>
              <w:t>490.05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104556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kern w:val="2"/>
                <w:sz w:val="22"/>
                <w:szCs w:val="22"/>
                <w:lang w:val="en-US" w:eastAsia="zh-CN" w:bidi="ar-SA"/>
              </w:rPr>
            </w:pPr>
            <w:r>
              <w:rPr>
                <w:rFonts w:ascii="Times New Roman" w:hAnsi="Times New Roman" w:eastAsia="仿宋_GB2312" w:cs="Times New Roman"/>
                <w:sz w:val="22"/>
              </w:rPr>
              <w:t>490.05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kern w:val="2"/>
                <w:sz w:val="22"/>
                <w:szCs w:val="22"/>
                <w:lang w:val="en-US" w:eastAsia="zh-CN" w:bidi="ar-SA"/>
              </w:rPr>
            </w:pPr>
            <w:r>
              <w:rPr>
                <w:rFonts w:ascii="Times New Roman" w:hAnsi="Times New Roman" w:eastAsia="仿宋_GB2312" w:cs="Times New Roman"/>
                <w:sz w:val="22"/>
              </w:rPr>
              <w:t>38.25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kern w:val="2"/>
                <w:sz w:val="22"/>
                <w:szCs w:val="22"/>
                <w:lang w:val="en-US" w:eastAsia="zh-CN" w:bidi="ar-SA"/>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kern w:val="2"/>
                <w:sz w:val="22"/>
                <w:szCs w:val="22"/>
                <w:lang w:val="en-US" w:eastAsia="zh-CN" w:bidi="ar-SA"/>
              </w:rPr>
            </w:pPr>
          </w:p>
        </w:tc>
      </w:tr>
      <w:tr>
        <w:tblPrEx>
          <w:tblCellMar>
            <w:top w:w="0" w:type="dxa"/>
            <w:left w:w="108" w:type="dxa"/>
            <w:bottom w:w="0" w:type="dxa"/>
            <w:right w:w="108" w:type="dxa"/>
          </w:tblCellMar>
        </w:tblPrEx>
        <w:trPr>
          <w:trHeight w:val="567" w:hRule="exact"/>
        </w:trPr>
        <w:tc>
          <w:tcPr>
            <w:tcW w:w="0" w:type="auto"/>
          </w:tcPr>
          <w:p>
            <w:pPr>
              <w:widowControl/>
              <w:spacing w:line="584" w:lineRule="exact"/>
              <w:jc w:val="center"/>
              <w:rPr>
                <w:rFonts w:ascii="Times New Roman" w:hAnsi="Times New Roman" w:eastAsia="仿宋_GB2312" w:cs="Times New Roman"/>
                <w:kern w:val="0"/>
                <w:sz w:val="22"/>
              </w:rPr>
            </w:pPr>
          </w:p>
        </w:tc>
        <w:tc>
          <w:tcPr>
            <w:tcW w:w="0" w:type="auto"/>
          </w:tcPr>
          <w:p>
            <w:pPr>
              <w:spacing w:line="584" w:lineRule="exact"/>
              <w:jc w:val="center"/>
              <w:rPr>
                <w:rFonts w:ascii="Times New Roman" w:hAnsi="Times New Roman" w:eastAsia="仿宋_GB2312" w:cs="Times New Roman"/>
                <w:sz w:val="22"/>
              </w:rPr>
            </w:pPr>
          </w:p>
        </w:tc>
        <w:tc>
          <w:tcPr>
            <w:tcW w:w="0" w:type="auto"/>
            <w:vAlign w:val="center"/>
          </w:tcPr>
          <w:p>
            <w:pPr>
              <w:spacing w:line="584" w:lineRule="exact"/>
              <w:jc w:val="center"/>
              <w:rPr>
                <w:rFonts w:ascii="Times New Roman" w:hAnsi="Times New Roman" w:eastAsia="仿宋_GB2312" w:cs="Times New Roman"/>
                <w:kern w:val="2"/>
                <w:sz w:val="22"/>
                <w:szCs w:val="22"/>
                <w:lang w:val="en-US" w:eastAsia="zh-CN" w:bidi="ar-SA"/>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val="en-US"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bookmarkStart w:id="18" w:name="_GoBack"/>
      <w:bookmarkEnd w:id="18"/>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val="en-US"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val="en-US"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8D23E7-2F64-4B62-89B6-80FF2AC9EF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D9FEC85-576C-4D4B-A95C-C2B0699D0171}"/>
  </w:font>
  <w:font w:name="方正书宋_GBK">
    <w:altName w:val="微软雅黑"/>
    <w:panose1 w:val="00000000000000000000"/>
    <w:charset w:val="86"/>
    <w:family w:val="roman"/>
    <w:pitch w:val="default"/>
    <w:sig w:usb0="00000000" w:usb1="00000000" w:usb2="00000000" w:usb3="00000000" w:csb0="00000000" w:csb1="00000000"/>
    <w:embedRegular r:id="rId3" w:fontKey="{FFDDD1C3-5906-40F7-983F-516577A7B6CD}"/>
  </w:font>
  <w:font w:name="方正仿宋_GBK">
    <w:panose1 w:val="02000000000000000000"/>
    <w:charset w:val="86"/>
    <w:family w:val="script"/>
    <w:pitch w:val="default"/>
    <w:sig w:usb0="A00002BF" w:usb1="38CF7CFA" w:usb2="00082016" w:usb3="00000000" w:csb0="00040001" w:csb1="00000000"/>
    <w:embedRegular r:id="rId4" w:fontKey="{CB41BBC9-49DC-47CE-93EA-105DC79CF578}"/>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5" w:fontKey="{92AEDB7C-944F-4FEC-9942-0E52AD637BEE}"/>
  </w:font>
  <w:font w:name="楷体_GB2312">
    <w:panose1 w:val="02010609030101010101"/>
    <w:charset w:val="86"/>
    <w:family w:val="modern"/>
    <w:pitch w:val="default"/>
    <w:sig w:usb0="00000001" w:usb1="080E0000" w:usb2="00000000" w:usb3="00000000" w:csb0="00040000" w:csb1="00000000"/>
    <w:embedRegular r:id="rId6" w:fontKey="{9095CB8F-67CF-45C2-BF5C-B7E14B28C6AD}"/>
  </w:font>
  <w:font w:name="方正小标宋_GBK">
    <w:altName w:val="微软雅黑"/>
    <w:panose1 w:val="00000000000000000000"/>
    <w:charset w:val="86"/>
    <w:family w:val="script"/>
    <w:pitch w:val="default"/>
    <w:sig w:usb0="00000000" w:usb1="00000000" w:usb2="00000010" w:usb3="00000000" w:csb0="00040000" w:csb1="00000000"/>
    <w:embedRegular r:id="rId7" w:fontKey="{C566C98B-4A1E-459B-86B6-A90FDBBB07D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B0636"/>
    <w:rsid w:val="000F6018"/>
    <w:rsid w:val="00154EBE"/>
    <w:rsid w:val="001A53BA"/>
    <w:rsid w:val="001B1BDF"/>
    <w:rsid w:val="00221B0A"/>
    <w:rsid w:val="002477C6"/>
    <w:rsid w:val="0025632D"/>
    <w:rsid w:val="003059E0"/>
    <w:rsid w:val="004A54AA"/>
    <w:rsid w:val="007F63C7"/>
    <w:rsid w:val="00944233"/>
    <w:rsid w:val="00953D3F"/>
    <w:rsid w:val="00A724D6"/>
    <w:rsid w:val="00B40732"/>
    <w:rsid w:val="00B454C9"/>
    <w:rsid w:val="00B80935"/>
    <w:rsid w:val="00BC2CDE"/>
    <w:rsid w:val="00C3290D"/>
    <w:rsid w:val="00CA3EF8"/>
    <w:rsid w:val="00CA7E20"/>
    <w:rsid w:val="00D347CC"/>
    <w:rsid w:val="00DC72B4"/>
    <w:rsid w:val="00EF0EFC"/>
    <w:rsid w:val="0CEC1180"/>
    <w:rsid w:val="0E5946F6"/>
    <w:rsid w:val="11ED3115"/>
    <w:rsid w:val="1C3910CC"/>
    <w:rsid w:val="3D9374F0"/>
    <w:rsid w:val="43FC3A95"/>
    <w:rsid w:val="47435B7F"/>
    <w:rsid w:val="73693C55"/>
    <w:rsid w:val="7FEC06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1404</Words>
  <Characters>8006</Characters>
  <Lines>66</Lines>
  <Paragraphs>18</Paragraphs>
  <TotalTime>6</TotalTime>
  <ScaleCrop>false</ScaleCrop>
  <LinksUpToDate>false</LinksUpToDate>
  <CharactersWithSpaces>9392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2023-08-03T14:07:56Z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FD19B9494DCF49CB83F81EB475C74915</vt:lpwstr>
  </property>
</Properties>
</file>