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广阳区人民政府办公室</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广阳区人民政府办公室</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（一）围绕区政府各时期的中心工作和重点工作，加强调查研究，及时了解、掌握经济和社会发展动态，及时反应信息情况，提出建议。</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（二）负责区政府各种会议的准备工作，协助区政领导同志组织各类会议。</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（三）负责区政府重要文、电的起草、审核把关和政府机关的文书处理工作；负责区政府机关的档案管理、印信管理和保密工作。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（四）负责区政府工作报告、领导同志重要讲话及其他重要材料的起草、修改工作。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（五）根据工作需要，负责与区委、人大、政协、纪委、中省直驻廊单位和驻廊部队的联系；协调乡镇、街办处、</w:t>
      </w:r>
      <w:r>
        <w:rPr>
          <w:rFonts w:hint="eastAsia" w:ascii="仿宋_GB2312" w:eastAsia="仿宋_GB2312"/>
          <w:sz w:val="32"/>
          <w:szCs w:val="32"/>
          <w:lang w:eastAsia="zh-CN"/>
        </w:rPr>
        <w:t>单位</w:t>
      </w:r>
      <w:r>
        <w:rPr>
          <w:rFonts w:hint="eastAsia" w:ascii="仿宋_GB2312" w:eastAsia="仿宋_GB2312"/>
          <w:sz w:val="32"/>
          <w:szCs w:val="32"/>
        </w:rPr>
        <w:t>之间的关系和工作，对重要的问题提出处理意见，报区政府领导审定。</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（六）督促检查区政府各</w:t>
      </w:r>
      <w:r>
        <w:rPr>
          <w:rFonts w:hint="eastAsia" w:ascii="仿宋_GB2312" w:eastAsia="仿宋_GB2312"/>
          <w:sz w:val="32"/>
          <w:szCs w:val="32"/>
          <w:lang w:eastAsia="zh-CN"/>
        </w:rPr>
        <w:t>单位</w:t>
      </w:r>
      <w:r>
        <w:rPr>
          <w:rFonts w:hint="eastAsia" w:ascii="仿宋_GB2312" w:eastAsia="仿宋_GB2312"/>
          <w:sz w:val="32"/>
          <w:szCs w:val="32"/>
        </w:rPr>
        <w:t>、各乡镇人民政府、街道办事处对省政府、市政府、区政府重要文件，区政府会议决定事项及区政府领导同志重要批示的执行、落实情况，并向区政府领导同志报告。</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（七）负责区政府机关值班工作，及时向区政府领导同志报告重要情况，协助领导同志组织处理突发事件、重大灾情和重大事故。</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（八）负责全国、省、市、区人大代表建议、批评、意见及全国、省、市、区政协提案的办理。</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（九）负责区政府外宾、内宾接待，公务接待工作。</w:t>
      </w:r>
    </w:p>
    <w:p>
      <w:pPr>
        <w:spacing w:line="586" w:lineRule="exact"/>
        <w:ind w:firstLine="640" w:firstLineChars="200"/>
        <w:rPr>
          <w:rFonts w:ascii="仿宋_GB2312" w:eastAsia="仿宋_GB2312"/>
          <w:sz w:val="32"/>
          <w:szCs w:val="32"/>
        </w:rPr>
      </w:pPr>
      <w:r>
        <w:rPr>
          <w:rFonts w:hint="eastAsia" w:ascii="仿宋_GB2312" w:eastAsia="仿宋_GB2312"/>
          <w:sz w:val="32"/>
          <w:szCs w:val="32"/>
        </w:rPr>
        <w:t>（十）负责经济体制改革工作，负责区政府机关事务管理工作。</w:t>
      </w:r>
    </w:p>
    <w:p>
      <w:pPr>
        <w:spacing w:line="584" w:lineRule="exact"/>
        <w:ind w:firstLine="660"/>
        <w:rPr>
          <w:rFonts w:ascii="Times New Roman" w:hAnsi="Times New Roman" w:eastAsia="仿宋_GB2312" w:cs="Times New Roman"/>
          <w:sz w:val="32"/>
          <w:szCs w:val="32"/>
        </w:rPr>
      </w:pPr>
      <w:r>
        <w:rPr>
          <w:rFonts w:hint="eastAsia" w:ascii="仿宋_GB2312" w:eastAsia="仿宋_GB2312"/>
          <w:sz w:val="32"/>
          <w:szCs w:val="32"/>
        </w:rPr>
        <w:t>（十一）办理区政府领导交办的其他事项。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廊坊市广阳区人民政府办公室</w:t>
            </w:r>
          </w:p>
        </w:tc>
        <w:tc>
          <w:tcPr>
            <w:tcW w:w="1134"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行政单位</w:t>
            </w:r>
          </w:p>
        </w:tc>
        <w:tc>
          <w:tcPr>
            <w:tcW w:w="1276"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正科级</w:t>
            </w:r>
          </w:p>
        </w:tc>
        <w:tc>
          <w:tcPr>
            <w:tcW w:w="2902" w:type="dxa"/>
            <w:shd w:val="clear" w:color="auto" w:fill="auto"/>
          </w:tcPr>
          <w:p>
            <w:pPr>
              <w:widowControl/>
              <w:spacing w:line="580" w:lineRule="exact"/>
              <w:jc w:val="center"/>
              <w:rPr>
                <w:rFonts w:ascii="Times New Roman" w:hAnsi="Times New Roman" w:eastAsia="仿宋_GB2312" w:cs="Times New Roman"/>
                <w:b/>
                <w:szCs w:val="21"/>
              </w:rPr>
            </w:pPr>
            <w:r>
              <w:rPr>
                <w:rFonts w:hint="eastAsia" w:eastAsia="仿宋_GB2312"/>
                <w:b/>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广阳区人民政府办公室</w:t>
      </w:r>
      <w:r>
        <w:rPr>
          <w:rFonts w:ascii="Times New Roman" w:hAnsi="Times New Roman" w:eastAsia="仿宋_GB2312" w:cs="Times New Roman"/>
          <w:sz w:val="32"/>
          <w:szCs w:val="32"/>
        </w:rPr>
        <w:t>机关及所属事业单位的收支包含在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1644.62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1644.62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广阳区人民政府办公室2022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1644.62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1088.83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877.53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211.3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555.79</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区政府一招人员经费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区政府华侨补贴、政务管理经费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1644.62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88.9</w:t>
      </w:r>
      <w:r>
        <w:rPr>
          <w:rFonts w:ascii="Times New Roman" w:hAnsi="Times New Roman" w:eastAsia="仿宋_GB2312" w:cs="Times New Roman"/>
          <w:sz w:val="32"/>
          <w:szCs w:val="32"/>
        </w:rPr>
        <w:t>万元，其中：基本支出减</w:t>
      </w:r>
      <w:r>
        <w:rPr>
          <w:rFonts w:hint="eastAsia" w:ascii="Times New Roman" w:hAnsi="Times New Roman" w:eastAsia="仿宋_GB2312" w:cs="Times New Roman"/>
          <w:sz w:val="32"/>
          <w:szCs w:val="32"/>
        </w:rPr>
        <w:t>少40.31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人员保险</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129.21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办公自动化</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211.3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广阳区政府</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rPr>
        <w:t>我单位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91.33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15.33</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15.33</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76</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预算绩效信息</w:t>
      </w: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主动适应新形势、新任务、新要求，不断增强做好工作的责任感和使命感，全面提升“四个服务”能力和水平，提高政务服务与管理水平，站位全局谋划工作，精准高效提供服务，依照要求对区政府系统工作进行督查督办，促进国务院和省、市政府重大决策部署和重点工作的推动落实。健全机制推动落实，担当作为锤炼作风，全力攻坚克难，全面提高办公室工作制度化、规范化水平，积淀并宣传区文化，努力开创工作新局面。</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1、区政府一招人员经费</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绩效目标：通过项目的开展保证区政府办一招人员待遇落实到位，满足经费需求，保障职工队伍稳定。</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数量指标为发放人员数量72人次，质量指标为发放标准占计划标准的比例大于等于95%，时效指标为每季度发放完成，成本指标为不超过156.4万元，社会效益指标为有效保障人员生活需求，保持队伍稳定，服务对象满意度为满意人数占全部人数的比例大于等于90%。</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2、归侨职工退休生活补贴经费</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绩效目标：落实归侨职工退休后发放生活补贴政策，满足工作所需经费开支，做到专款专用，保障归国华侨生活补贴及时发放，为工作开展做好充足的准备。</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数量指标为发放人员数量2人次，质量指标为发放对象占应发放对象比例为100%，时效指标为每季度发放，成本指标为不超过0.24万元，社会效益指标为维护社会安定团结，服务对象满意度为满意人数占全部人数的比例大于等于90%。</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3、金融扶贫贴息资金</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绩效目标：实现扶贫小额贷款贴息，为巩固扶贫脱贫成果提供有力支撑。</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数量指标为符合贴息政策的建档立卡贫困户数4户，质量指标为年利息利率不超过贷款基准利率，时效指标为6月前发放完成，成本指标为不超过0.15万元，社会效益指标为及时发放户数占总应发户数的比例为100%，服务对象满意度为满意人数占全部人数的比例大于等于90%。</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4、政务管理经费</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绩效目标：通过项目的开展满足工作所需经费开支，保障区政府办工作有序进行，保障广阳区人民政府办公室完成上级布置的各项工作，加大管理力度，维护社会稳定。</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数量指标为完成工作量占应完成总量的比例大于等于95%，质量指标为合格数量占总数量的比例大于等于95%，时效指标为每季度支出，成本指标为不超过260万元，社会效益指标为t业务提升业务保障能力，服务对象满意度为满意人数占全部人数的比例大于等于95%。</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5、办公自动化经费</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绩效目标：为电子政务和信息化建设的实施和发展奠定良好的基础，运用现代信息技术，为用户提供方便、快捷的服务，增加政策的宣传手段。</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绩效指标：数量指标为采购的系统1套，质量指标为符合区政府协同办公要求，时效指标为按照采购合同及时完成采购，成本指标为不超过139万元，社会效益指标为提高工作效率，加快文件签批流转速度，服务对象满意度为使用</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满意度大于等于95%</w:t>
      </w:r>
      <w:r>
        <w:rPr>
          <w:rFonts w:ascii="Times New Roman" w:hAnsi="Times New Roman" w:eastAsia="仿宋_GB2312" w:cs="Times New Roman"/>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做好财务工作，要制定好工作计划，加强财务管理，完善财务制度，做到财务计划工作长计划、短安排，使财务工作在规范化、制度化的良好环境。我们将严格按会计制度要求办理一切会计业务，做好工作保障措施。</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1、完善制度建设。认真贯彻执行有关的财务管理制度，加强财务核算管理，反应分析财务计划的执行情况，检查监督财务纪律。</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2、加强支出管理。从单位的切实发展需要出发，做好会计核算工作，加强对财务工作的监督与检查，确保各项支出符合标准，手续齐全，资金合规，真正实现财务支出规范化、合理化。</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3、强化预算执行。将年度预算细化分解，落实到岗，落实到人。科学制定预算使用计划，加快履行政府采购程序，及时启动项目和支付资金，根据需要召开调度会，及时协调解决工作中存在的困难和问题。</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加强内控建设。建立健全内部控制体系，认真执行财经法规和政策要求，对重大支出、资产处置及其他重要经济事项进行有效监督，并完善内部审计，配合做好审计、财政等外部检查，确保资金使用安全有效。</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5、完善绩效管理。制定完善预算绩效管理制度，健全资金管理办法和工作保障机制，加大宣传培训力度，强化</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预算绩效管理意识，进一步提升预算绩效管理水平。</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6、按要求开展绩效运行监控，认真做好绩效评价工作，按月通报支付进度，督促相关股室加快项目执行，确保绩效目标如期保质实现，提高财政资金使用效益。</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7、规范财务资产管理。建立健全固定资产管理制度，对新购、报废的固定资产及时登记与核查，做到账账相符，账实相符。</w:t>
      </w:r>
    </w:p>
    <w:p>
      <w:pPr>
        <w:widowControl/>
        <w:spacing w:line="480" w:lineRule="auto"/>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8、加强宣传培训调研。财会人员积极参加会计继续教育和各种会计业务培训，在日常工作中加强学习会计制度和法规，不断提高自身素质和业务水平。</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培训人员人次</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达到指标值得15分，否则按照比例扣分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保障单位干部职工学习培训人次</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人次</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培训记录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825" w:type="dxa"/>
            <w:tcBorders>
              <w:tl2br w:val="nil"/>
              <w:tr2bl w:val="nil"/>
            </w:tcBorders>
            <w:vAlign w:val="center"/>
          </w:tcPr>
          <w:p>
            <w:pPr>
              <w:widowControl/>
              <w:adjustRightInd w:val="0"/>
              <w:snapToGrid w:val="0"/>
              <w:jc w:val="center"/>
              <w:rPr>
                <w:rFonts w:ascii="方正书宋_GBK" w:eastAsiaTheme="minorEastAsia"/>
              </w:rPr>
            </w:pPr>
            <w:r>
              <w:rPr>
                <w:rFonts w:hint="eastAsia" w:ascii="方正书宋_GBK" w:eastAsiaTheme="minorEastAsia"/>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门户网维护好评量</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达到指标值得15分，否则按照比例扣分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门户网使用好评数量占总数量的比例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质量验收合格率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达到指标值得15分，否则按照比例扣分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购置资产验收合格数量占总数量的比例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验收单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Theme="minorEastAsia"/>
              </w:rPr>
            </w:pPr>
            <w:r>
              <w:rPr>
                <w:rFonts w:hint="eastAsia" w:ascii="方正书宋_GBK" w:eastAsiaTheme="minorEastAsia"/>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政务公开率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达到指标值得15分，否则按照比例扣分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实际公开情况占应公开的比例</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实际公开数量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经费使用及时率%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达到指标值得10分，否则按照比例扣分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严格按照经费使用计划时间节点</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严格按计划支出</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支出凭证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达到指标值得10分，否则按照比例扣分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全年印刷成本控制不超出招标成本</w:t>
            </w:r>
          </w:p>
        </w:tc>
        <w:tc>
          <w:tcPr>
            <w:tcW w:w="543"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不超标控制</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支出凭证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强化政府信誉</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达到指标值得10分，否则按照比例扣分</w:t>
            </w:r>
          </w:p>
        </w:tc>
        <w:tc>
          <w:tcPr>
            <w:tcW w:w="148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保障一招人员生活费</w:t>
            </w:r>
          </w:p>
        </w:tc>
        <w:tc>
          <w:tcPr>
            <w:tcW w:w="543"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充分保障</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受众满意度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达到指标值得10分，否则按照比例扣分</w:t>
            </w:r>
          </w:p>
        </w:tc>
        <w:tc>
          <w:tcPr>
            <w:tcW w:w="1483" w:type="dxa"/>
            <w:tcBorders>
              <w:tl2br w:val="nil"/>
              <w:tr2bl w:val="nil"/>
            </w:tcBorders>
            <w:noWrap/>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受众人群满意人数占总人数的比例</w:t>
            </w:r>
          </w:p>
        </w:tc>
        <w:tc>
          <w:tcPr>
            <w:tcW w:w="54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spacing w:line="30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1.政务管理经费绩效目标表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1.通过项目的开展满足工作所需经费开支，保障区政府办工作有序进行，保障广阳区人民政府办公室完成上级布置的各项工作，加大管理力度，维护社会稳定。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日常工作完成率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完成工作量占应完成总量的比例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采购质量合格率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合格数量占总数量的比例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采购完成时间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采购完成时间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每季度支出</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不超预算成本</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不超预算成本</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≤260万元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业务保障能力提升情况</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购置对业务保障能力的提升情况</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有效提升</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满意人数占总人数的比例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调查问询</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 办公自动化经费绩效目标表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1.为电子政务和信息化建设的实施和发展奠定良好的基础，运用现代信息技术，为用户提供方便、快捷的服务，增加政策的宣传手段。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采购数量</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采购的系统数量</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定制功能实现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符合区政府协同办公要求</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系统提交时间率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按照采购合同及时完成采购</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≤1年</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成本控制单价</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项目支出控制在预算范围内</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≤139万元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提高工作效率，加快文件签批流转速度</w:t>
            </w:r>
          </w:p>
        </w:tc>
        <w:tc>
          <w:tcPr>
            <w:tcW w:w="3402"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提高工作效率，加快文件签批流转速度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廊坊市机关政务电子化实施方案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协同办公、文档管理、审批工作流自动化</w:t>
            </w:r>
          </w:p>
        </w:tc>
        <w:tc>
          <w:tcPr>
            <w:tcW w:w="3402"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协同办公、文档管理、审批工作流自动化</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≥5年</w:t>
            </w:r>
          </w:p>
        </w:tc>
        <w:tc>
          <w:tcPr>
            <w:tcW w:w="215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廊坊市机关政务电子化实施方案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w:t>
            </w:r>
            <w:r>
              <w:rPr>
                <w:rFonts w:hint="eastAsia" w:ascii="仿宋_GB2312" w:hAnsi="仿宋_GB2312" w:eastAsia="仿宋_GB2312" w:cs="仿宋_GB2312"/>
                <w:lang w:eastAsia="zh-CN"/>
              </w:rPr>
              <w:t>单位</w:t>
            </w:r>
            <w:r>
              <w:rPr>
                <w:rFonts w:hint="eastAsia" w:ascii="仿宋_GB2312" w:hAnsi="仿宋_GB2312" w:eastAsia="仿宋_GB2312" w:cs="仿宋_GB2312"/>
              </w:rPr>
              <w:t>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w:t>
            </w:r>
            <w:r>
              <w:rPr>
                <w:rFonts w:hint="eastAsia" w:ascii="仿宋_GB2312" w:hAnsi="仿宋_GB2312" w:eastAsia="仿宋_GB2312" w:cs="仿宋_GB2312"/>
                <w:lang w:eastAsia="zh-CN"/>
              </w:rPr>
              <w:t>单位</w:t>
            </w:r>
            <w:r>
              <w:rPr>
                <w:rFonts w:hint="eastAsia" w:ascii="仿宋_GB2312" w:hAnsi="仿宋_GB2312" w:eastAsia="仿宋_GB2312" w:cs="仿宋_GB2312"/>
              </w:rPr>
              <w:t>的满意度</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调查问询</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 归侨职工退休生活补贴经费绩效目标表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1.落实归侨职工退休后发放生活补贴政策，满足工作所需经费开支，做到专款专用，保障归国华侨生活补贴及时发放，为工作开展做好充足的准备。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发放人员数量</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发放人员数量</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2人次</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受益对象精准率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发放对象占应发放对象比例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发放完成时间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发放完成时间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每季度发放</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项目成本控制</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按照具体规定不超标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≤0.24万元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通过政策的落实, 维护社会安定团结</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维护社会安定团结</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基本维护</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满意人数占全部人数的比例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调查询问</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 金融扶贫贴息资金绩效目标表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1.实现扶贫小额贷款贴息，为巩固扶贫脱贫成果提供有力支撑。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受益建档立卡贫困户数</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符合贴息政策的建档立卡贫困户数　</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4户</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达到标准数量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小额信贷贴息利率　</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年利息利率不超过贷款基准利率　</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符合国家标准</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完成时间　</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发放完成时间　</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≤6月</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项目成本控制　</w:t>
            </w:r>
          </w:p>
        </w:tc>
        <w:tc>
          <w:tcPr>
            <w:tcW w:w="3402"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项目经费支出按照具体文件规定执行　</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≤0.15万元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贷款及时发放率　</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及时发放户数占总应发户数的比例</w:t>
            </w:r>
          </w:p>
        </w:tc>
        <w:tc>
          <w:tcPr>
            <w:tcW w:w="1843"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及时发放户数占总应发户数的比例100%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受益建档立卡贫困户满意度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满意人数占总人数的比例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调查询问</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5. 区政府一招人员经费绩效目标表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1.通过项目的开展保证区政府办一招人员待遇落实到位，满足经费需求，保障职工队伍稳定。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发放人员数量</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发放人员数量</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72人次</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实有人数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发放标准准确率</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发放标准占计划标准的比例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发放完成时间</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发放完成时间</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每季度发放</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项目成本控制</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按照具体规定不超标</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≤156.4万元</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00" w:lineRule="exact"/>
              <w:rPr>
                <w:rFonts w:hint="eastAsia" w:ascii="仿宋_GB2312" w:hAnsi="仿宋_GB2312" w:eastAsia="仿宋_GB2312" w:cs="仿宋_GB2312"/>
              </w:rPr>
            </w:pPr>
            <w:r>
              <w:rPr>
                <w:rFonts w:hint="eastAsia" w:ascii="仿宋_GB2312" w:hAnsi="仿宋_GB2312" w:eastAsia="仿宋_GB2312" w:cs="仿宋_GB2312"/>
              </w:rPr>
              <w:t>保障人员生活需求，保持队伍稳定</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保障人员生活需求，保持队伍稳定</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有效保障</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满意人数占总人数的比例</w:t>
            </w:r>
          </w:p>
        </w:tc>
        <w:tc>
          <w:tcPr>
            <w:tcW w:w="1843"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调查问询</w:t>
            </w:r>
          </w:p>
        </w:tc>
      </w:tr>
    </w:tbl>
    <w:p>
      <w:pPr>
        <w:autoSpaceDE w:val="0"/>
        <w:autoSpaceDN w:val="0"/>
        <w:adjustRightInd w:val="0"/>
        <w:spacing w:line="584" w:lineRule="exact"/>
        <w:jc w:val="left"/>
        <w:rPr>
          <w:rFonts w:ascii="Times New Roman" w:hAnsi="Times New Roman" w:eastAsia="仿宋_GB2312" w:cs="Times New Roman"/>
          <w:sz w:val="28"/>
        </w:rPr>
      </w:pPr>
      <w:r>
        <w:rPr>
          <w:rFonts w:hint="eastAsia" w:ascii="Times New Roman" w:hAnsi="Times New Roman" w:eastAsia="仿宋_GB2312" w:cs="Times New Roman"/>
          <w:sz w:val="28"/>
        </w:rPr>
        <w:t xml:space="preserve">     </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359</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pPr>
      <w:r>
        <w:t>廊坊市</w:t>
      </w:r>
      <w:r>
        <w:rPr>
          <w:rFonts w:hint="eastAsia"/>
        </w:rPr>
        <w:t>广阳区人民政府办公室</w:t>
      </w:r>
      <w:r>
        <w:t xml:space="preserve">                                                                              </w:t>
      </w:r>
      <w:r>
        <w:rPr>
          <w:rFonts w:hint="eastAsia"/>
        </w:rPr>
        <w:t xml:space="preserve">               </w:t>
      </w:r>
      <w:r>
        <w:t>单位：万元</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6"/>
        <w:gridCol w:w="877"/>
        <w:gridCol w:w="1030"/>
        <w:gridCol w:w="1197"/>
        <w:gridCol w:w="639"/>
        <w:gridCol w:w="769"/>
        <w:gridCol w:w="769"/>
        <w:gridCol w:w="874"/>
        <w:gridCol w:w="875"/>
        <w:gridCol w:w="875"/>
        <w:gridCol w:w="875"/>
        <w:gridCol w:w="875"/>
        <w:gridCol w:w="875"/>
        <w:gridCol w:w="875"/>
        <w:gridCol w:w="892"/>
        <w:gridCol w:w="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2" w:type="pct"/>
            <w:gridSpan w:val="8"/>
            <w:vAlign w:val="center"/>
          </w:tcPr>
          <w:p>
            <w:pPr>
              <w:pStyle w:val="12"/>
            </w:pPr>
            <w:r>
              <w:t>政府采购金额（当年</w:t>
            </w:r>
            <w:r>
              <w:rPr>
                <w:rFonts w:hint="eastAsia"/>
                <w:lang w:eastAsia="zh-CN"/>
              </w:rPr>
              <w:t>单位</w:t>
            </w:r>
            <w:r>
              <w:t>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3"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pPr>
            <w:r>
              <w:t>合  计</w:t>
            </w:r>
          </w:p>
        </w:tc>
        <w:tc>
          <w:tcPr>
            <w:tcW w:w="313" w:type="pct"/>
            <w:vAlign w:val="center"/>
          </w:tcPr>
          <w:p>
            <w:pPr>
              <w:pStyle w:val="17"/>
              <w:rPr>
                <w:lang w:eastAsia="zh-CN"/>
              </w:rPr>
            </w:pPr>
            <w:r>
              <w:rPr>
                <w:rFonts w:hint="eastAsia"/>
                <w:lang w:eastAsia="zh-CN"/>
              </w:rPr>
              <w:t>359</w:t>
            </w: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rPr>
                <w:lang w:eastAsia="zh-CN"/>
              </w:rPr>
            </w:pPr>
            <w:r>
              <w:rPr>
                <w:rFonts w:hint="eastAsia"/>
                <w:lang w:eastAsia="zh-CN"/>
              </w:rPr>
              <w:t>359</w:t>
            </w:r>
          </w:p>
        </w:tc>
        <w:tc>
          <w:tcPr>
            <w:tcW w:w="312" w:type="pct"/>
            <w:vAlign w:val="center"/>
          </w:tcPr>
          <w:p>
            <w:pPr>
              <w:pStyle w:val="17"/>
              <w:rPr>
                <w:lang w:eastAsia="zh-CN"/>
              </w:rPr>
            </w:pPr>
            <w:r>
              <w:rPr>
                <w:rFonts w:hint="eastAsia"/>
                <w:lang w:eastAsia="zh-CN"/>
              </w:rPr>
              <w:t>359</w:t>
            </w: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3"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spacing w:line="300" w:lineRule="exact"/>
              <w:jc w:val="left"/>
              <w:rPr>
                <w:rFonts w:ascii="方正书宋_GBK" w:eastAsia="方正书宋_GBK" w:cs="Times New Roman"/>
              </w:rPr>
            </w:pPr>
            <w:r>
              <w:rPr>
                <w:rFonts w:hint="eastAsia" w:ascii="方正书宋_GBK" w:eastAsia="方正书宋_GBK" w:cs="Times New Roman"/>
              </w:rPr>
              <w:t>政务管理经费</w:t>
            </w:r>
          </w:p>
        </w:tc>
        <w:tc>
          <w:tcPr>
            <w:tcW w:w="313"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80</w:t>
            </w:r>
          </w:p>
        </w:tc>
        <w:tc>
          <w:tcPr>
            <w:tcW w:w="367" w:type="pct"/>
            <w:vAlign w:val="center"/>
          </w:tcPr>
          <w:p>
            <w:pPr>
              <w:spacing w:line="300" w:lineRule="exact"/>
              <w:jc w:val="left"/>
              <w:rPr>
                <w:rFonts w:ascii="方正书宋_GBK" w:eastAsia="方正书宋_GBK" w:cs="Times New Roman"/>
              </w:rPr>
            </w:pPr>
            <w:r>
              <w:rPr>
                <w:rFonts w:hint="eastAsia" w:ascii="方正书宋_GBK" w:eastAsia="方正书宋_GBK" w:cs="Times New Roman"/>
              </w:rPr>
              <w:t>办公耗材</w:t>
            </w:r>
          </w:p>
        </w:tc>
        <w:tc>
          <w:tcPr>
            <w:tcW w:w="367" w:type="pct"/>
            <w:vAlign w:val="center"/>
          </w:tcPr>
          <w:p>
            <w:pPr>
              <w:spacing w:line="300" w:lineRule="exact"/>
              <w:jc w:val="left"/>
              <w:rPr>
                <w:rFonts w:ascii="方正书宋_GBK" w:eastAsia="方正书宋_GBK" w:cs="Times New Roman"/>
              </w:rPr>
            </w:pPr>
            <w:r>
              <w:rPr>
                <w:rFonts w:hint="eastAsia" w:ascii="Times New Roman" w:hAnsi="Times New Roman" w:eastAsia="仿宋_GB2312" w:cs="Times New Roman"/>
              </w:rPr>
              <w:t>A0999</w:t>
            </w:r>
          </w:p>
        </w:tc>
        <w:tc>
          <w:tcPr>
            <w:tcW w:w="22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套</w:t>
            </w:r>
          </w:p>
        </w:tc>
        <w:tc>
          <w:tcPr>
            <w:tcW w:w="275"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1</w:t>
            </w:r>
          </w:p>
        </w:tc>
        <w:tc>
          <w:tcPr>
            <w:tcW w:w="275"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80</w:t>
            </w:r>
          </w:p>
        </w:tc>
        <w:tc>
          <w:tcPr>
            <w:tcW w:w="312"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80</w:t>
            </w:r>
          </w:p>
        </w:tc>
        <w:tc>
          <w:tcPr>
            <w:tcW w:w="312"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80</w:t>
            </w: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3"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spacing w:line="300" w:lineRule="exact"/>
              <w:jc w:val="left"/>
              <w:rPr>
                <w:rFonts w:ascii="方正书宋_GBK" w:eastAsia="方正书宋_GBK" w:cs="Times New Roman"/>
              </w:rPr>
            </w:pPr>
            <w:r>
              <w:rPr>
                <w:rFonts w:hint="eastAsia" w:ascii="方正书宋_GBK" w:eastAsia="方正书宋_GBK" w:cs="Times New Roman"/>
              </w:rPr>
              <w:t>政务管理经费</w:t>
            </w:r>
          </w:p>
        </w:tc>
        <w:tc>
          <w:tcPr>
            <w:tcW w:w="313"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140</w:t>
            </w:r>
          </w:p>
        </w:tc>
        <w:tc>
          <w:tcPr>
            <w:tcW w:w="367" w:type="pct"/>
            <w:vAlign w:val="center"/>
          </w:tcPr>
          <w:p>
            <w:pPr>
              <w:spacing w:line="300" w:lineRule="exact"/>
              <w:jc w:val="left"/>
              <w:rPr>
                <w:rFonts w:ascii="方正书宋_GBK" w:eastAsia="方正书宋_GBK" w:cs="Times New Roman"/>
              </w:rPr>
            </w:pPr>
            <w:r>
              <w:rPr>
                <w:rFonts w:hint="eastAsia" w:ascii="方正书宋_GBK" w:eastAsia="方正书宋_GBK" w:cs="Times New Roman"/>
              </w:rPr>
              <w:t>印刷服务</w:t>
            </w:r>
          </w:p>
        </w:tc>
        <w:tc>
          <w:tcPr>
            <w:tcW w:w="367" w:type="pct"/>
            <w:vAlign w:val="center"/>
          </w:tcPr>
          <w:p>
            <w:pPr>
              <w:spacing w:line="300" w:lineRule="exact"/>
              <w:jc w:val="left"/>
              <w:rPr>
                <w:rFonts w:ascii="方正书宋_GBK" w:eastAsia="方正书宋_GBK" w:cs="Times New Roman"/>
              </w:rPr>
            </w:pPr>
            <w:r>
              <w:rPr>
                <w:rFonts w:hint="eastAsia" w:ascii="Times New Roman" w:hAnsi="Times New Roman" w:eastAsia="仿宋_GB2312" w:cs="Times New Roman"/>
              </w:rPr>
              <w:t>C08140199</w:t>
            </w:r>
          </w:p>
        </w:tc>
        <w:tc>
          <w:tcPr>
            <w:tcW w:w="229" w:type="pct"/>
            <w:vAlign w:val="center"/>
          </w:tcPr>
          <w:p>
            <w:pPr>
              <w:spacing w:line="300" w:lineRule="exact"/>
              <w:jc w:val="center"/>
              <w:rPr>
                <w:rFonts w:ascii="方正书宋_GBK" w:eastAsia="方正书宋_GBK" w:cs="Times New Roman"/>
              </w:rPr>
            </w:pPr>
            <w:r>
              <w:rPr>
                <w:rFonts w:hint="eastAsia" w:ascii="方正书宋_GBK" w:eastAsia="方正书宋_GBK" w:cs="Times New Roman"/>
              </w:rPr>
              <w:t>套</w:t>
            </w:r>
          </w:p>
        </w:tc>
        <w:tc>
          <w:tcPr>
            <w:tcW w:w="275"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1</w:t>
            </w:r>
          </w:p>
        </w:tc>
        <w:tc>
          <w:tcPr>
            <w:tcW w:w="275"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140</w:t>
            </w:r>
          </w:p>
        </w:tc>
        <w:tc>
          <w:tcPr>
            <w:tcW w:w="312"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140</w:t>
            </w:r>
          </w:p>
        </w:tc>
        <w:tc>
          <w:tcPr>
            <w:tcW w:w="312" w:type="pct"/>
            <w:vAlign w:val="center"/>
          </w:tcPr>
          <w:p>
            <w:pPr>
              <w:spacing w:line="300" w:lineRule="exact"/>
              <w:jc w:val="right"/>
              <w:rPr>
                <w:rFonts w:ascii="方正书宋_GBK" w:eastAsia="方正书宋_GBK" w:cs="Times New Roman"/>
              </w:rPr>
            </w:pPr>
            <w:r>
              <w:rPr>
                <w:rFonts w:hint="eastAsia" w:ascii="方正书宋_GBK" w:eastAsia="方正书宋_GBK" w:cs="Times New Roman"/>
              </w:rPr>
              <w:t>140</w:t>
            </w: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3" w:type="pct"/>
            <w:vAlign w:val="center"/>
          </w:tcPr>
          <w:p>
            <w:pPr>
              <w:pStyle w:val="13"/>
            </w:pPr>
          </w:p>
        </w:tc>
        <w:tc>
          <w:tcPr>
            <w:tcW w:w="312" w:type="pct"/>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spacing w:line="240" w:lineRule="exact"/>
              <w:rPr>
                <w:lang w:eastAsia="zh-CN"/>
              </w:rPr>
            </w:pPr>
            <w:r>
              <w:rPr>
                <w:rFonts w:hint="eastAsia"/>
                <w:lang w:eastAsia="zh-CN"/>
              </w:rPr>
              <w:t>办公自动化经费</w:t>
            </w:r>
          </w:p>
        </w:tc>
        <w:tc>
          <w:tcPr>
            <w:tcW w:w="313" w:type="pct"/>
            <w:vAlign w:val="center"/>
          </w:tcPr>
          <w:p>
            <w:pPr>
              <w:pStyle w:val="13"/>
              <w:rPr>
                <w:lang w:eastAsia="zh-CN"/>
              </w:rPr>
            </w:pPr>
            <w:r>
              <w:rPr>
                <w:rFonts w:hint="eastAsia"/>
                <w:lang w:eastAsia="zh-CN"/>
              </w:rPr>
              <w:t>139</w:t>
            </w:r>
          </w:p>
        </w:tc>
        <w:tc>
          <w:tcPr>
            <w:tcW w:w="367" w:type="pct"/>
            <w:vAlign w:val="center"/>
          </w:tcPr>
          <w:p>
            <w:pPr>
              <w:pStyle w:val="14"/>
              <w:spacing w:line="240" w:lineRule="exact"/>
            </w:pPr>
            <w:r>
              <w:rPr>
                <w:rFonts w:hint="eastAsia" w:hAnsi="Calibri" w:cs="Times New Roman"/>
                <w:kern w:val="2"/>
                <w:szCs w:val="22"/>
                <w:lang w:eastAsia="zh-CN"/>
              </w:rPr>
              <w:t>软件运维服务</w:t>
            </w:r>
          </w:p>
        </w:tc>
        <w:tc>
          <w:tcPr>
            <w:tcW w:w="367" w:type="pct"/>
            <w:vAlign w:val="center"/>
          </w:tcPr>
          <w:p>
            <w:pPr>
              <w:spacing w:line="300" w:lineRule="exact"/>
              <w:jc w:val="left"/>
            </w:pPr>
            <w:r>
              <w:rPr>
                <w:rFonts w:hint="eastAsia" w:ascii="Times New Roman" w:hAnsi="Times New Roman" w:eastAsia="仿宋_GB2312" w:cs="Times New Roman"/>
              </w:rPr>
              <w:t>C020603</w:t>
            </w:r>
          </w:p>
        </w:tc>
        <w:tc>
          <w:tcPr>
            <w:tcW w:w="229" w:type="pct"/>
            <w:vAlign w:val="center"/>
          </w:tcPr>
          <w:p>
            <w:pPr>
              <w:pStyle w:val="15"/>
              <w:rPr>
                <w:lang w:eastAsia="zh-CN"/>
              </w:rPr>
            </w:pPr>
            <w:r>
              <w:rPr>
                <w:rFonts w:hint="eastAsia"/>
                <w:lang w:eastAsia="zh-CN"/>
              </w:rPr>
              <w:t>套</w:t>
            </w:r>
          </w:p>
        </w:tc>
        <w:tc>
          <w:tcPr>
            <w:tcW w:w="275" w:type="pct"/>
            <w:vAlign w:val="center"/>
          </w:tcPr>
          <w:p>
            <w:pPr>
              <w:pStyle w:val="13"/>
              <w:rPr>
                <w:lang w:eastAsia="zh-CN"/>
              </w:rPr>
            </w:pPr>
            <w:r>
              <w:rPr>
                <w:rFonts w:hint="eastAsia"/>
                <w:lang w:eastAsia="zh-CN"/>
              </w:rPr>
              <w:t>1</w:t>
            </w:r>
          </w:p>
        </w:tc>
        <w:tc>
          <w:tcPr>
            <w:tcW w:w="275" w:type="pct"/>
            <w:vAlign w:val="center"/>
          </w:tcPr>
          <w:p>
            <w:pPr>
              <w:pStyle w:val="13"/>
              <w:rPr>
                <w:lang w:eastAsia="zh-CN"/>
              </w:rPr>
            </w:pPr>
            <w:r>
              <w:rPr>
                <w:rFonts w:hint="eastAsia"/>
                <w:lang w:eastAsia="zh-CN"/>
              </w:rPr>
              <w:t>139</w:t>
            </w:r>
          </w:p>
        </w:tc>
        <w:tc>
          <w:tcPr>
            <w:tcW w:w="312" w:type="pct"/>
            <w:vAlign w:val="center"/>
          </w:tcPr>
          <w:p>
            <w:pPr>
              <w:pStyle w:val="13"/>
              <w:rPr>
                <w:lang w:eastAsia="zh-CN"/>
              </w:rPr>
            </w:pPr>
            <w:r>
              <w:rPr>
                <w:rFonts w:hint="eastAsia"/>
                <w:lang w:eastAsia="zh-CN"/>
              </w:rPr>
              <w:t>139</w:t>
            </w:r>
          </w:p>
        </w:tc>
        <w:tc>
          <w:tcPr>
            <w:tcW w:w="312" w:type="pct"/>
            <w:vAlign w:val="center"/>
          </w:tcPr>
          <w:p>
            <w:pPr>
              <w:pStyle w:val="13"/>
              <w:rPr>
                <w:lang w:eastAsia="zh-CN"/>
              </w:rPr>
            </w:pPr>
            <w:r>
              <w:rPr>
                <w:rFonts w:hint="eastAsia"/>
                <w:lang w:eastAsia="zh-CN"/>
              </w:rPr>
              <w:t>139</w:t>
            </w: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2" w:type="pct"/>
            <w:vAlign w:val="center"/>
          </w:tcPr>
          <w:p>
            <w:pPr>
              <w:pStyle w:val="13"/>
            </w:pPr>
          </w:p>
        </w:tc>
        <w:tc>
          <w:tcPr>
            <w:tcW w:w="313" w:type="pct"/>
            <w:vAlign w:val="center"/>
          </w:tcPr>
          <w:p>
            <w:pPr>
              <w:pStyle w:val="13"/>
            </w:pPr>
          </w:p>
        </w:tc>
        <w:tc>
          <w:tcPr>
            <w:tcW w:w="312"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rPr>
          <w:rFonts w:ascii="方正仿宋_GBK" w:hAnsi="方正仿宋_GBK" w:eastAsia="方正仿宋_GBK" w:cs="方正仿宋_GBK"/>
          <w:color w:val="000000"/>
        </w:rPr>
      </w:pPr>
      <w:r>
        <w:rPr>
          <w:rFonts w:hint="eastAsia" w:ascii="方正仿宋_GBK" w:hAnsi="方正仿宋_GBK" w:eastAsia="方正仿宋_GBK" w:cs="方正仿宋_GBK"/>
          <w:color w:val="000000"/>
        </w:rPr>
        <w:t xml:space="preserve">     </w:t>
      </w:r>
    </w:p>
    <w:p>
      <w:pPr>
        <w:spacing w:line="500" w:lineRule="exact"/>
        <w:ind w:firstLine="525" w:firstLineChars="250"/>
        <w:rPr>
          <w:rFonts w:ascii="Times New Roman" w:hAnsi="Times New Roman" w:eastAsia="黑体" w:cs="Times New Roman"/>
          <w:sz w:val="32"/>
          <w:szCs w:val="32"/>
        </w:rPr>
      </w:pPr>
      <w:r>
        <w:rPr>
          <w:rFonts w:hint="eastAsia" w:ascii="方正仿宋_GBK" w:hAnsi="方正仿宋_GBK" w:eastAsia="方正仿宋_GBK" w:cs="方正仿宋_GBK"/>
          <w:color w:val="000000"/>
        </w:rPr>
        <w:t xml:space="preserve"> </w:t>
      </w: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广阳区人民政府办公室</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420.74804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总额为139万元，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办公系统</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广阳区人民政府办公室</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420.74804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152.48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116.32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995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151.94804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8A5B86-626D-481E-BBC3-A242230A40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2" w:fontKey="{A09E5A72-0DF5-4CA7-AC00-D244DC989A21}"/>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3" w:fontKey="{C395A88F-F4BD-461E-BEF2-704065D89CA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18</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40A6C"/>
    <w:rsid w:val="000B362E"/>
    <w:rsid w:val="000B4B45"/>
    <w:rsid w:val="000F6018"/>
    <w:rsid w:val="001436CC"/>
    <w:rsid w:val="00180C19"/>
    <w:rsid w:val="00203971"/>
    <w:rsid w:val="0025632D"/>
    <w:rsid w:val="002A543C"/>
    <w:rsid w:val="003059E0"/>
    <w:rsid w:val="00332B55"/>
    <w:rsid w:val="00382ACF"/>
    <w:rsid w:val="00393BFB"/>
    <w:rsid w:val="0046386C"/>
    <w:rsid w:val="004A54AA"/>
    <w:rsid w:val="0052432C"/>
    <w:rsid w:val="00652F13"/>
    <w:rsid w:val="006B2095"/>
    <w:rsid w:val="00710CEA"/>
    <w:rsid w:val="00731F85"/>
    <w:rsid w:val="00744EC4"/>
    <w:rsid w:val="0075656E"/>
    <w:rsid w:val="00812F98"/>
    <w:rsid w:val="00874CA3"/>
    <w:rsid w:val="008A28C3"/>
    <w:rsid w:val="008D4C35"/>
    <w:rsid w:val="00944233"/>
    <w:rsid w:val="009903F3"/>
    <w:rsid w:val="00A60858"/>
    <w:rsid w:val="00AF6EA0"/>
    <w:rsid w:val="00B40732"/>
    <w:rsid w:val="00B80935"/>
    <w:rsid w:val="00B80F1D"/>
    <w:rsid w:val="00D347CC"/>
    <w:rsid w:val="00DC72B4"/>
    <w:rsid w:val="00F51681"/>
    <w:rsid w:val="052343E1"/>
    <w:rsid w:val="058459A0"/>
    <w:rsid w:val="0C915E3E"/>
    <w:rsid w:val="0CEC1180"/>
    <w:rsid w:val="118E5728"/>
    <w:rsid w:val="59186ED4"/>
    <w:rsid w:val="66F44340"/>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1117</Words>
  <Characters>6371</Characters>
  <Lines>53</Lines>
  <Paragraphs>14</Paragraphs>
  <TotalTime>9059</TotalTime>
  <ScaleCrop>false</ScaleCrop>
  <LinksUpToDate>false</LinksUpToDate>
  <CharactersWithSpaces>7474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2023-08-01T03:59:36Z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5A6A9644CDC047A5BF14198C6758572A</vt:lpwstr>
  </property>
</Properties>
</file>