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bookmarkStart w:id="8" w:name="_GoBack"/>
      <w:bookmarkEnd w:id="8"/>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广阳区九州镇南汉中心小学</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广阳区九州镇南汉中心小学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为全民事业单位，规格为正县(处)级建制，全额事业单位。学校的主要职责是:全面贯彻国家教育方针，培养学生的创新精神与实践能力，使之成为社会主义事业的建设者和接班人。我校是全日制完全小学，学校为公益一类、全额拨款事业单位。承担义务教育小学阶段的教育教学。</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内设机构各处室职责:</w:t>
      </w:r>
    </w:p>
    <w:p>
      <w:pPr>
        <w:spacing w:line="584" w:lineRule="exact"/>
        <w:rPr>
          <w:rFonts w:ascii="Times New Roman" w:hAnsi="Times New Roman" w:eastAsia="仿宋_GB2312" w:cs="Times New Roman"/>
          <w:b/>
          <w:bCs/>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b/>
          <w:bCs/>
          <w:sz w:val="32"/>
          <w:szCs w:val="32"/>
        </w:rPr>
        <w:t>(一)教导处工作职责</w:t>
      </w:r>
    </w:p>
    <w:p>
      <w:pPr>
        <w:spacing w:line="584" w:lineRule="exact"/>
        <w:ind w:firstLine="640" w:firstLineChars="200"/>
        <w:rPr>
          <w:rFonts w:ascii="仿宋_GB2312" w:hAnsi="楷体" w:eastAsia="仿宋_GB2312" w:cs="Times New Roman"/>
          <w:b/>
          <w:bCs/>
          <w:sz w:val="32"/>
          <w:szCs w:val="32"/>
        </w:rPr>
      </w:pPr>
      <w:r>
        <w:rPr>
          <w:rFonts w:hint="eastAsia" w:ascii="Times New Roman" w:hAnsi="Times New Roman" w:eastAsia="仿宋_GB2312" w:cs="Times New Roman"/>
          <w:sz w:val="32"/>
          <w:szCs w:val="32"/>
        </w:rPr>
        <w:t>教导处是负责全校教学工作的重要办事机构,在学校起着参谋和总调度的作用。负责计划、组织、检查总结全校教学工作、教研工作，以及处理日常教务行政等事宜,协助校长完成领导管理教学任务，</w:t>
      </w:r>
      <w:r>
        <w:rPr>
          <w:rFonts w:hint="eastAsia" w:ascii="仿宋_GB2312" w:hAnsi="楷体" w:eastAsia="仿宋_GB2312" w:cs="Times New Roman"/>
          <w:b/>
          <w:bCs/>
          <w:sz w:val="32"/>
          <w:szCs w:val="32"/>
        </w:rPr>
        <w:t>具体职责是:</w:t>
      </w:r>
    </w:p>
    <w:p>
      <w:pPr>
        <w:spacing w:line="584" w:lineRule="exact"/>
        <w:rPr>
          <w:rFonts w:ascii="仿宋_GB2312" w:hAnsi="楷体" w:eastAsia="仿宋_GB2312" w:cs="Times New Roman"/>
          <w:b/>
          <w:bCs/>
          <w:sz w:val="32"/>
          <w:szCs w:val="32"/>
        </w:rPr>
      </w:pPr>
      <w:r>
        <w:rPr>
          <w:rFonts w:hint="eastAsia" w:ascii="仿宋_GB2312" w:hAnsi="楷体" w:eastAsia="仿宋_GB2312" w:cs="Times New Roman"/>
          <w:b/>
          <w:bCs/>
          <w:sz w:val="32"/>
          <w:szCs w:val="32"/>
        </w:rPr>
        <w:t>学期(或学年)开始前工作:</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1.根据学校的工作计划制订具体的教学工作计划以及必要的规章制度。</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2.协助校长做好教学力量的安排及聘任工作。</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3做好义务教育工作。</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4.根据教学计划,征订师生用书及所需的教学参考资料,做好课本、教学资料的分发工作。</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5编印或准备好校历表、课程表、作息时间表,活动安排总表以及各种教学用表册(点名册、成绩册)。</w:t>
      </w:r>
    </w:p>
    <w:p>
      <w:pPr>
        <w:spacing w:line="584" w:lineRule="exact"/>
        <w:rPr>
          <w:rFonts w:ascii="楷体" w:hAnsi="楷体" w:eastAsia="楷体" w:cs="Times New Roman"/>
          <w:b/>
          <w:bCs/>
          <w:sz w:val="32"/>
          <w:szCs w:val="32"/>
        </w:rPr>
      </w:pPr>
      <w:r>
        <w:rPr>
          <w:rFonts w:hint="eastAsia" w:ascii="楷体" w:hAnsi="楷体" w:eastAsia="楷体" w:cs="Times New Roman"/>
          <w:b/>
          <w:bCs/>
          <w:sz w:val="32"/>
          <w:szCs w:val="32"/>
        </w:rPr>
        <w:t>日常工作:</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1.督促和检查教师认真贯彻执行各种计划。</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2管理好教导处的工作档案及时提供有关教学基本情况和数据掌握动向,提出建议,贯彻领导意图。</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3组织好教师认真学习贯彻执行,科学地组织,认真抓好教学常规的五个基本环节(备课、上课、作业、复习、考试)的实施协调,检查评估和总结反馈。</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4根据学籍管理规定，认真做好学生学籍管理工作,建立学籍变动档案,毕业生档案,升学及毕业去向的跟踪档案。</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5.做好教师的考勤工作,及时安排好调课、代课。</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指导图书馆、阅览室、实验室的工作为教学服务做好图书阅览室、资料室的书籍征订、选购工作。</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.有计划地组织全校教师学习教育教学理论,积极进行教育教学改革实验,并组织经验交流和总结努力提高各学科的教育教学质量。</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.领导教研组工作,经常深入各教研组了解教学情况促进教研活动和教学改革活动的深入开展。</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组织管理学科竞赛并把有关资料建档。</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.组织和管理教师的论文汇编、论文的收集和归档。</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.组织和管理市、具、校各级研究课题。</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按校务公开要求及时公开内容。</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.承担教育教学科研课题。</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.做好听课、开课的登记工作。</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.负责全体教职工的继续教育的编册、验印等工作。</w:t>
      </w:r>
    </w:p>
    <w:p>
      <w:pPr>
        <w:spacing w:line="584" w:lineRule="exac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学期末(或学年末)工作:</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1.检查各年级学科教学进度,教学计划完成情况。</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2.安排好期末复习考试工作(考试科目、时间安排、监考、评卷、登分)组织好期末考试工作,严肃考试纪律。</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抓好期末成绩、学年成绩的评定工作,以及各学科期末考试成绩的质量分析和统计，各班级成绩的汇总、统计和分析。</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.布置和收集教师教学工作总结,做好全校教学工作总结。</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.组织布置班级做好学生成绩报告工作。</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.确定和布置学生的寒暑假作业。</w:t>
      </w:r>
    </w:p>
    <w:p>
      <w:pPr>
        <w:spacing w:line="584" w:lineRule="exac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(二)总务处工作职责</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认真贯彻执行党的各项方针积极地保证教育事业计划的顺利实现,为不断提高教育质量服务,努力搞好财务管理、财产管理、生活管理、安全管理等四个方面的工作。</w:t>
      </w:r>
    </w:p>
    <w:p>
      <w:pPr>
        <w:spacing w:line="584" w:lineRule="exac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1.财务管理</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(1)合理安排,正确执行预算(预算外资金收支计划),确保完成教育事业计划,积极地为教学服务,为师生生活服务,促进教育质量的提高。</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(2)严格执行会计制度,搞好会计核算。</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(3)负责保护国家财产的安全和合理使用。</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(4)逐步熟悉教学情况,提高资金使用效率。</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(5)制定财务管理制度。</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(6)根据党和国家的方针、政策及各项制度,正确地进行财务监督,维护财经纪律。</w:t>
      </w:r>
    </w:p>
    <w:p>
      <w:pPr>
        <w:spacing w:line="584" w:lineRule="exac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2.财产管理</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(1)保证教育教学的需要,讲求财产对教育、教学、生活的适用,延长使用期限、提高使用效益。</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(2)有计划地充实与更新教学设备。</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(3)培养爱护公物的道德与良好使用习惯。</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(4)抵制各种侵犯学校公共财产的行为减少和避免公物的损失,维护财产的安全</w:t>
      </w:r>
    </w:p>
    <w:p>
      <w:pPr>
        <w:spacing w:line="584" w:lineRule="exac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3.生活管理</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(1)增强师生员工的健康。</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(2)解除教工后顾之忧。</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(3)协助学校党组织认真做好落实党的知识分子政策的工作。</w:t>
      </w:r>
    </w:p>
    <w:p>
      <w:pPr>
        <w:spacing w:line="584"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rPr>
        <w:t>.安全管理</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(1)预防火灾、控制火源,管好消防器材,确保安全。</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(2)提高警惕,加强防盗措施。</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(3)防止体育锻炼伤害事故。</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(4)搞好劳动保护和安全生产。</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(5)校舍安全管理。</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(6)注意饮食卫生。</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10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4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419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4196"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廊坊市广阳区九州镇南汉中心小学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419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w:t>
      </w:r>
      <w:r>
        <w:rPr>
          <w:rFonts w:hint="eastAsia" w:ascii="Times New Roman" w:hAnsi="Times New Roman" w:eastAsia="仿宋_GB2312" w:cs="Times New Roman"/>
          <w:bCs/>
          <w:sz w:val="32"/>
          <w:szCs w:val="32"/>
        </w:rPr>
        <w:t>廊坊市广阳区九州镇南汉中心小学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bookmarkStart w:id="0" w:name="_Hlk97642894"/>
      <w:r>
        <w:rPr>
          <w:rFonts w:hint="eastAsia" w:ascii="Times New Roman" w:hAnsi="Times New Roman" w:eastAsia="仿宋_GB2312" w:cs="Times New Roman"/>
          <w:sz w:val="32"/>
          <w:szCs w:val="32"/>
        </w:rPr>
        <w:t>108</w:t>
      </w:r>
      <w:r>
        <w:rPr>
          <w:rFonts w:ascii="Times New Roman" w:hAnsi="Times New Roman" w:eastAsia="仿宋_GB2312" w:cs="Times New Roman"/>
          <w:sz w:val="32"/>
          <w:szCs w:val="32"/>
        </w:rPr>
        <w:t>.</w:t>
      </w:r>
      <w:bookmarkEnd w:id="0"/>
      <w:r>
        <w:rPr>
          <w:rFonts w:hint="eastAsia" w:ascii="Times New Roman" w:hAnsi="Times New Roman" w:eastAsia="仿宋_GB2312" w:cs="Times New Roman"/>
          <w:sz w:val="32"/>
          <w:szCs w:val="32"/>
        </w:rPr>
        <w:t>02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02</w:t>
      </w:r>
      <w:r>
        <w:rPr>
          <w:rFonts w:ascii="Times New Roman" w:hAnsi="Times New Roman" w:eastAsia="仿宋_GB2312" w:cs="Times New Roman"/>
          <w:sz w:val="32"/>
          <w:szCs w:val="32"/>
        </w:rPr>
        <w:t>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bCs/>
          <w:sz w:val="32"/>
          <w:szCs w:val="32"/>
        </w:rPr>
        <w:t>廊坊市广阳区九州镇南汉中心小学</w:t>
      </w: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万元，包括人员类项目经费0万元和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公用项目经费0万元；运转类其他及特定目标类项目支出108.02万元。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增加108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02</w:t>
      </w:r>
      <w:r>
        <w:rPr>
          <w:rFonts w:ascii="Times New Roman" w:hAnsi="Times New Roman" w:eastAsia="仿宋_GB2312" w:cs="Times New Roman"/>
          <w:sz w:val="32"/>
          <w:szCs w:val="32"/>
        </w:rPr>
        <w:t>万元，其中：运转类其他及特定目标类项目支出</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108.02万元</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幼儿园专项经费增加</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我校</w:t>
      </w:r>
      <w:r>
        <w:rPr>
          <w:rFonts w:ascii="Times New Roman" w:hAnsi="Times New Roman" w:eastAsia="黑体" w:cs="Times New Roman"/>
          <w:sz w:val="32"/>
          <w:szCs w:val="32"/>
        </w:rPr>
        <w:t>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运行经费共计安排0万元。</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left"/>
        <w:textAlignment w:val="auto"/>
        <w:rPr>
          <w:rFonts w:ascii="仿宋_GB2312"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（二）分项绩效目标</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1、提高义务教育水平，免除农村小学生学杂费，提供免费教科书，解决大班额问题及入学难问题。对贫困小学生进行补助。</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2、按质按量完成教育教学方面的各项任务，稳步提升学校的教育教学质量，学生综合素质评价优秀率达到85%,合格率达到100%。</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sz w:val="24"/>
          <w:szCs w:val="24"/>
        </w:rPr>
      </w:pPr>
      <w:r>
        <w:rPr>
          <w:rFonts w:hint="eastAsia" w:ascii="Times New Roman" w:hAnsi="Times New Roman" w:eastAsia="仿宋_GB2312" w:cs="Times New Roman"/>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1、成立学校监督小组，监督学校工作，强化工作落实。</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、加强政治理论学习，强化党风廉政建设。做好师德传承活动，落实老中青传帮带。弘扬办学精神。加强师德宣传与学习活动。开展形式多样、扎实有效的师德教育活动。</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4723" w:type="pct"/>
        <w:jc w:val="center"/>
        <w:tblLayout w:type="autofit"/>
        <w:tblCellMar>
          <w:top w:w="0" w:type="dxa"/>
          <w:left w:w="108" w:type="dxa"/>
          <w:bottom w:w="0" w:type="dxa"/>
          <w:right w:w="108" w:type="dxa"/>
        </w:tblCellMar>
      </w:tblPr>
      <w:tblGrid>
        <w:gridCol w:w="1238"/>
        <w:gridCol w:w="1584"/>
        <w:gridCol w:w="1663"/>
        <w:gridCol w:w="2317"/>
        <w:gridCol w:w="2704"/>
        <w:gridCol w:w="656"/>
        <w:gridCol w:w="590"/>
        <w:gridCol w:w="1075"/>
        <w:gridCol w:w="1339"/>
      </w:tblGrid>
      <w:tr>
        <w:tblPrEx>
          <w:tblCellMar>
            <w:top w:w="0" w:type="dxa"/>
            <w:left w:w="108" w:type="dxa"/>
            <w:bottom w:w="0" w:type="dxa"/>
            <w:right w:w="108" w:type="dxa"/>
          </w:tblCellMar>
        </w:tblPrEx>
        <w:trPr>
          <w:trHeight w:val="360" w:hRule="atLeast"/>
          <w:jc w:val="center"/>
        </w:trPr>
        <w:tc>
          <w:tcPr>
            <w:tcW w:w="4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6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6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8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绩效指标描述</w:t>
            </w:r>
          </w:p>
        </w:tc>
        <w:tc>
          <w:tcPr>
            <w:tcW w:w="102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评（扣）分标准</w:t>
            </w:r>
          </w:p>
        </w:tc>
        <w:tc>
          <w:tcPr>
            <w:tcW w:w="88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指标值确定依据</w:t>
            </w:r>
          </w:p>
        </w:tc>
      </w:tr>
      <w:tr>
        <w:tblPrEx>
          <w:tblCellMar>
            <w:top w:w="0" w:type="dxa"/>
            <w:left w:w="108" w:type="dxa"/>
            <w:bottom w:w="0" w:type="dxa"/>
            <w:right w:w="108" w:type="dxa"/>
          </w:tblCellMar>
        </w:tblPrEx>
        <w:trPr>
          <w:trHeight w:val="585" w:hRule="atLeast"/>
          <w:jc w:val="center"/>
        </w:trPr>
        <w:tc>
          <w:tcPr>
            <w:tcW w:w="470"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601"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631"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879"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026"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符号</w:t>
            </w:r>
          </w:p>
        </w:tc>
        <w:tc>
          <w:tcPr>
            <w:tcW w:w="224"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值</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单位（文字描述）</w:t>
            </w:r>
          </w:p>
        </w:tc>
        <w:tc>
          <w:tcPr>
            <w:tcW w:w="508"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30" w:hRule="atLeast"/>
          <w:jc w:val="center"/>
        </w:trPr>
        <w:tc>
          <w:tcPr>
            <w:tcW w:w="47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产出指标</w:t>
            </w:r>
          </w:p>
        </w:tc>
        <w:tc>
          <w:tcPr>
            <w:tcW w:w="60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小学生毕业生合格率</w:t>
            </w:r>
          </w:p>
        </w:tc>
        <w:tc>
          <w:tcPr>
            <w:tcW w:w="87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小学生毕业生合格率</w:t>
            </w:r>
          </w:p>
        </w:tc>
        <w:tc>
          <w:tcPr>
            <w:tcW w:w="1026"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20分毕业生合格率100%得满分，否则不得分</w:t>
            </w: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224"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100</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岗位职责</w:t>
            </w:r>
          </w:p>
        </w:tc>
      </w:tr>
      <w:tr>
        <w:tblPrEx>
          <w:tblCellMar>
            <w:top w:w="0" w:type="dxa"/>
            <w:left w:w="108" w:type="dxa"/>
            <w:bottom w:w="0" w:type="dxa"/>
            <w:right w:w="108" w:type="dxa"/>
          </w:tblCellMar>
        </w:tblPrEx>
        <w:trPr>
          <w:trHeight w:val="330" w:hRule="atLeast"/>
          <w:jc w:val="center"/>
        </w:trPr>
        <w:tc>
          <w:tcPr>
            <w:tcW w:w="470" w:type="pct"/>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eastAsia="仿宋_GB2312" w:cs="Calibri"/>
                <w:color w:val="000000"/>
                <w:kern w:val="0"/>
                <w:szCs w:val="21"/>
              </w:rPr>
            </w:pPr>
          </w:p>
        </w:tc>
        <w:tc>
          <w:tcPr>
            <w:tcW w:w="60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重点工作实际完成率</w:t>
            </w:r>
          </w:p>
        </w:tc>
        <w:tc>
          <w:tcPr>
            <w:tcW w:w="87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重点工作实际完成率</w:t>
            </w:r>
          </w:p>
        </w:tc>
        <w:tc>
          <w:tcPr>
            <w:tcW w:w="1026"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10分不低于95%得满分，否则不得分5每减少1%扣1分，扣完为止</w:t>
            </w: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224"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95</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实际工作</w:t>
            </w:r>
          </w:p>
        </w:tc>
      </w:tr>
      <w:tr>
        <w:tblPrEx>
          <w:tblCellMar>
            <w:top w:w="0" w:type="dxa"/>
            <w:left w:w="108" w:type="dxa"/>
            <w:bottom w:w="0" w:type="dxa"/>
            <w:right w:w="108" w:type="dxa"/>
          </w:tblCellMar>
        </w:tblPrEx>
        <w:trPr>
          <w:trHeight w:val="330" w:hRule="atLeast"/>
          <w:jc w:val="center"/>
        </w:trPr>
        <w:tc>
          <w:tcPr>
            <w:tcW w:w="470" w:type="pct"/>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eastAsia="仿宋_GB2312" w:cs="Calibri"/>
                <w:color w:val="000000"/>
                <w:kern w:val="0"/>
                <w:szCs w:val="21"/>
              </w:rPr>
            </w:pPr>
          </w:p>
        </w:tc>
        <w:tc>
          <w:tcPr>
            <w:tcW w:w="60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采购物资、建设工程合格率</w:t>
            </w:r>
          </w:p>
        </w:tc>
        <w:tc>
          <w:tcPr>
            <w:tcW w:w="87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采购物资、建设工程合格率</w:t>
            </w:r>
          </w:p>
        </w:tc>
        <w:tc>
          <w:tcPr>
            <w:tcW w:w="1026"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20分合格率100%得满分，否则不得分</w:t>
            </w: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224"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100</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质量评价标准</w:t>
            </w:r>
          </w:p>
        </w:tc>
      </w:tr>
      <w:tr>
        <w:tblPrEx>
          <w:tblCellMar>
            <w:top w:w="0" w:type="dxa"/>
            <w:left w:w="108" w:type="dxa"/>
            <w:bottom w:w="0" w:type="dxa"/>
            <w:right w:w="108" w:type="dxa"/>
          </w:tblCellMar>
        </w:tblPrEx>
        <w:trPr>
          <w:trHeight w:val="330" w:hRule="atLeast"/>
          <w:jc w:val="center"/>
        </w:trPr>
        <w:tc>
          <w:tcPr>
            <w:tcW w:w="470" w:type="pct"/>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eastAsia="仿宋_GB2312" w:cs="Calibri"/>
                <w:color w:val="000000"/>
                <w:kern w:val="0"/>
                <w:szCs w:val="21"/>
              </w:rPr>
            </w:pPr>
          </w:p>
        </w:tc>
        <w:tc>
          <w:tcPr>
            <w:tcW w:w="60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学校的各项工作任务及时完成情况</w:t>
            </w:r>
          </w:p>
        </w:tc>
        <w:tc>
          <w:tcPr>
            <w:tcW w:w="87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学校的各项工作任务及时完成情况</w:t>
            </w:r>
          </w:p>
        </w:tc>
        <w:tc>
          <w:tcPr>
            <w:tcW w:w="1026"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10分及时完成得满分，否则不得分</w:t>
            </w: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文字描述</w:t>
            </w:r>
          </w:p>
        </w:tc>
        <w:tc>
          <w:tcPr>
            <w:tcW w:w="224"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及时</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年初工作计划</w:t>
            </w:r>
          </w:p>
        </w:tc>
      </w:tr>
      <w:tr>
        <w:tblPrEx>
          <w:tblCellMar>
            <w:top w:w="0" w:type="dxa"/>
            <w:left w:w="108" w:type="dxa"/>
            <w:bottom w:w="0" w:type="dxa"/>
            <w:right w:w="108" w:type="dxa"/>
          </w:tblCellMar>
        </w:tblPrEx>
        <w:trPr>
          <w:trHeight w:val="330" w:hRule="atLeast"/>
          <w:jc w:val="center"/>
        </w:trPr>
        <w:tc>
          <w:tcPr>
            <w:tcW w:w="470" w:type="pct"/>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eastAsia="仿宋_GB2312" w:cs="Calibri"/>
                <w:color w:val="000000"/>
                <w:kern w:val="0"/>
                <w:szCs w:val="21"/>
              </w:rPr>
            </w:pPr>
          </w:p>
        </w:tc>
        <w:tc>
          <w:tcPr>
            <w:tcW w:w="60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教育经费使用控制率</w:t>
            </w:r>
          </w:p>
        </w:tc>
        <w:tc>
          <w:tcPr>
            <w:tcW w:w="87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支出的公用经费总额与预算安排的比率</w:t>
            </w:r>
          </w:p>
        </w:tc>
        <w:tc>
          <w:tcPr>
            <w:tcW w:w="1026"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10分教育经费决算数不大于调整预算数得满分，否则不得分</w:t>
            </w: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文字描述</w:t>
            </w:r>
          </w:p>
        </w:tc>
        <w:tc>
          <w:tcPr>
            <w:tcW w:w="224"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教育经费决算数不大于调整预算数</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实际工作</w:t>
            </w:r>
          </w:p>
        </w:tc>
      </w:tr>
      <w:tr>
        <w:tblPrEx>
          <w:tblCellMar>
            <w:top w:w="0" w:type="dxa"/>
            <w:left w:w="108" w:type="dxa"/>
            <w:bottom w:w="0" w:type="dxa"/>
            <w:right w:w="108" w:type="dxa"/>
          </w:tblCellMar>
        </w:tblPrEx>
        <w:trPr>
          <w:trHeight w:val="330" w:hRule="atLeast"/>
          <w:jc w:val="center"/>
        </w:trPr>
        <w:tc>
          <w:tcPr>
            <w:tcW w:w="4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效益指标</w:t>
            </w:r>
          </w:p>
        </w:tc>
        <w:tc>
          <w:tcPr>
            <w:tcW w:w="60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社会效益指标</w:t>
            </w: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义务教育高质量发展</w:t>
            </w:r>
          </w:p>
        </w:tc>
        <w:tc>
          <w:tcPr>
            <w:tcW w:w="87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推动义务教育从数量扩张向质量提高转变</w:t>
            </w:r>
          </w:p>
        </w:tc>
        <w:tc>
          <w:tcPr>
            <w:tcW w:w="1026"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10分学生、家长、社会对学校整体满意度达到95%得满分，每降低1%扣1分，扣完为止。</w:t>
            </w: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224"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95</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lang w:eastAsia="zh-CN"/>
              </w:rPr>
              <w:t>单位</w:t>
            </w:r>
            <w:r>
              <w:rPr>
                <w:rFonts w:hint="eastAsia" w:ascii="仿宋_GB2312" w:eastAsia="仿宋_GB2312" w:cs="Calibri"/>
                <w:kern w:val="0"/>
                <w:szCs w:val="21"/>
              </w:rPr>
              <w:t>职责</w:t>
            </w:r>
          </w:p>
        </w:tc>
      </w:tr>
      <w:tr>
        <w:tblPrEx>
          <w:tblCellMar>
            <w:top w:w="0" w:type="dxa"/>
            <w:left w:w="108" w:type="dxa"/>
            <w:bottom w:w="0" w:type="dxa"/>
            <w:right w:w="108" w:type="dxa"/>
          </w:tblCellMar>
        </w:tblPrEx>
        <w:trPr>
          <w:trHeight w:val="330" w:hRule="atLeast"/>
          <w:jc w:val="center"/>
        </w:trPr>
        <w:tc>
          <w:tcPr>
            <w:tcW w:w="4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满意度指标</w:t>
            </w:r>
          </w:p>
        </w:tc>
        <w:tc>
          <w:tcPr>
            <w:tcW w:w="60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在校师生的满意程度</w:t>
            </w:r>
          </w:p>
        </w:tc>
        <w:tc>
          <w:tcPr>
            <w:tcW w:w="87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在校师生的满意程度</w:t>
            </w:r>
          </w:p>
        </w:tc>
        <w:tc>
          <w:tcPr>
            <w:tcW w:w="1026"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10分在校师生的满意度达到95%得满分，每降低1%扣1分，扣完为止。</w:t>
            </w: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224"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95</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调查问卷</w:t>
            </w:r>
          </w:p>
        </w:tc>
      </w:tr>
      <w:tr>
        <w:tblPrEx>
          <w:tblCellMar>
            <w:top w:w="0" w:type="dxa"/>
            <w:left w:w="108" w:type="dxa"/>
            <w:bottom w:w="0" w:type="dxa"/>
            <w:right w:w="108" w:type="dxa"/>
          </w:tblCellMar>
        </w:tblPrEx>
        <w:trPr>
          <w:trHeight w:val="330" w:hRule="atLeast"/>
          <w:jc w:val="center"/>
        </w:trPr>
        <w:tc>
          <w:tcPr>
            <w:tcW w:w="4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满意度指标</w:t>
            </w:r>
          </w:p>
        </w:tc>
        <w:tc>
          <w:tcPr>
            <w:tcW w:w="60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家长的满意程度</w:t>
            </w:r>
          </w:p>
        </w:tc>
        <w:tc>
          <w:tcPr>
            <w:tcW w:w="87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家长的满意程度</w:t>
            </w:r>
          </w:p>
        </w:tc>
        <w:tc>
          <w:tcPr>
            <w:tcW w:w="1026"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10分家长的满意度达到95%得满分，每降低1%扣1分，扣完为止。</w:t>
            </w: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224"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95</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调查问卷</w:t>
            </w:r>
          </w:p>
        </w:tc>
      </w:tr>
    </w:tbl>
    <w:p>
      <w:pPr>
        <w:overflowPunct w:val="0"/>
        <w:adjustRightInd w:val="0"/>
        <w:snapToGrid w:val="0"/>
        <w:spacing w:after="120" w:afterLines="50" w:line="580" w:lineRule="exact"/>
        <w:jc w:val="left"/>
        <w:rPr>
          <w:rFonts w:ascii="楷体_GB2312" w:eastAsia="楷体_GB2312" w:cs="Times New Roman"/>
          <w:b/>
          <w:sz w:val="32"/>
          <w:szCs w:val="32"/>
        </w:rPr>
      </w:pPr>
    </w:p>
    <w:p>
      <w:pPr>
        <w:numPr>
          <w:ilvl w:val="0"/>
          <w:numId w:val="1"/>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资金绩效目标</w:t>
      </w:r>
    </w:p>
    <w:p>
      <w:pPr>
        <w:ind w:firstLine="560"/>
        <w:jc w:val="left"/>
        <w:outlineLvl w:val="3"/>
        <w:rPr>
          <w:rFonts w:hint="eastAsia" w:ascii="仿宋_GB2312" w:hAnsi="仿宋_GB2312" w:eastAsia="仿宋_GB2312" w:cs="仿宋_GB2312"/>
        </w:rPr>
      </w:pPr>
      <w:bookmarkStart w:id="1" w:name="_Toc_4_4_0000000004"/>
      <w:r>
        <w:rPr>
          <w:rFonts w:hint="eastAsia" w:ascii="仿宋_GB2312" w:hAnsi="仿宋_GB2312" w:eastAsia="仿宋_GB2312" w:cs="仿宋_GB2312"/>
          <w:color w:val="000000"/>
          <w:sz w:val="28"/>
        </w:rPr>
        <w:t>1.城乡义务教育生均公用经费[区级]绩效目标表</w:t>
      </w:r>
      <w:bookmarkEnd w:id="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78"/>
        <w:gridCol w:w="1236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43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1.廊坊市广阳区九州镇南汉小学对2022年在校学生466人，按照义务教育圣君公用经费标准申请财政预算资金、通过合理，合规保障学校运转及事业发展。</w:t>
            </w:r>
          </w:p>
          <w:p>
            <w:pPr>
              <w:pStyle w:val="14"/>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3.促进城区义务教育发展</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78"/>
        <w:gridCol w:w="2305"/>
        <w:gridCol w:w="2163"/>
        <w:gridCol w:w="3749"/>
        <w:gridCol w:w="1550"/>
        <w:gridCol w:w="2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66"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827"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776"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345"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56"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0"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Merge w:val="restart"/>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8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77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345"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55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466人</w:t>
            </w:r>
          </w:p>
        </w:tc>
        <w:tc>
          <w:tcPr>
            <w:tcW w:w="93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Merge w:val="continue"/>
            <w:vAlign w:val="center"/>
          </w:tcPr>
          <w:p>
            <w:pPr>
              <w:spacing w:line="320" w:lineRule="exact"/>
              <w:rPr>
                <w:rFonts w:hint="eastAsia" w:ascii="仿宋_GB2312" w:hAnsi="仿宋_GB2312" w:eastAsia="仿宋_GB2312" w:cs="仿宋_GB2312"/>
              </w:rPr>
            </w:pPr>
          </w:p>
        </w:tc>
        <w:tc>
          <w:tcPr>
            <w:tcW w:w="8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77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345"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55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Merge w:val="continue"/>
            <w:vAlign w:val="center"/>
          </w:tcPr>
          <w:p>
            <w:pPr>
              <w:spacing w:line="320" w:lineRule="exact"/>
              <w:rPr>
                <w:rFonts w:hint="eastAsia" w:ascii="仿宋_GB2312" w:hAnsi="仿宋_GB2312" w:eastAsia="仿宋_GB2312" w:cs="仿宋_GB2312"/>
              </w:rPr>
            </w:pPr>
          </w:p>
        </w:tc>
        <w:tc>
          <w:tcPr>
            <w:tcW w:w="8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77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345"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55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Merge w:val="continue"/>
            <w:vAlign w:val="center"/>
          </w:tcPr>
          <w:p>
            <w:pPr>
              <w:spacing w:line="320" w:lineRule="exact"/>
              <w:rPr>
                <w:rFonts w:hint="eastAsia" w:ascii="仿宋_GB2312" w:hAnsi="仿宋_GB2312" w:eastAsia="仿宋_GB2312" w:cs="仿宋_GB2312"/>
              </w:rPr>
            </w:pPr>
          </w:p>
        </w:tc>
        <w:tc>
          <w:tcPr>
            <w:tcW w:w="8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77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345"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55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735元/生</w:t>
            </w:r>
          </w:p>
        </w:tc>
        <w:tc>
          <w:tcPr>
            <w:tcW w:w="93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8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7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1345"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55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93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8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7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45"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55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93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jc w:val="center"/>
        <w:rPr>
          <w:rFonts w:hint="eastAsia" w:ascii="仿宋_GB2312" w:hAnsi="仿宋_GB2312" w:eastAsia="仿宋_GB2312" w:cs="仿宋_GB2312"/>
        </w:rPr>
      </w:pPr>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65"/>
        <w:gridCol w:w="9553"/>
        <w:gridCol w:w="262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4060" w:type="pct"/>
            <w:gridSpan w:val="2"/>
            <w:tcBorders>
              <w:top w:val="single" w:color="FFFFFF" w:sz="6" w:space="0"/>
              <w:left w:val="single" w:color="FFFFFF" w:sz="6" w:space="0"/>
              <w:right w:val="single" w:color="FFFFFF" w:sz="6" w:space="0"/>
            </w:tcBorders>
            <w:vAlign w:val="center"/>
          </w:tcPr>
          <w:p>
            <w:pPr>
              <w:ind w:firstLine="280" w:firstLineChars="100"/>
              <w:jc w:val="left"/>
              <w:outlineLvl w:val="3"/>
              <w:rPr>
                <w:rFonts w:hint="eastAsia" w:ascii="仿宋_GB2312" w:hAnsi="仿宋_GB2312" w:eastAsia="仿宋_GB2312" w:cs="仿宋_GB2312"/>
                <w:color w:val="000000"/>
                <w:sz w:val="28"/>
              </w:rPr>
            </w:pPr>
            <w:bookmarkStart w:id="2" w:name="_Toc_4_4_0000000005"/>
          </w:p>
          <w:p>
            <w:pPr>
              <w:ind w:firstLine="280" w:firstLineChars="1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2.城乡义务教育生均公用经费[市级]绩效目标表</w:t>
            </w:r>
            <w:bookmarkEnd w:id="2"/>
          </w:p>
        </w:tc>
        <w:tc>
          <w:tcPr>
            <w:tcW w:w="940" w:type="pct"/>
            <w:tcBorders>
              <w:top w:val="single" w:color="FFFFFF" w:sz="6" w:space="0"/>
              <w:left w:val="single" w:color="FFFFFF" w:sz="6" w:space="0"/>
              <w:right w:val="single" w:color="FFFFFF" w:sz="6" w:space="0"/>
            </w:tcBorders>
            <w:vAlign w:val="center"/>
          </w:tcPr>
          <w:p>
            <w:pPr>
              <w:pStyle w:val="13"/>
              <w:rPr>
                <w:rFonts w:hint="eastAsia" w:ascii="仿宋_GB2312" w:hAnsi="仿宋_GB2312" w:eastAsia="仿宋_GB2312" w:cs="仿宋_GB231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67" w:type="pct"/>
            <w:gridSpan w:val="2"/>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1.廊坊市广阳区九州镇南汉中心小学对2022年在校学生466人，按照义务教育生均公用经费标准申请财政预算资金、通过合理，合规保障学校运转及事业发展。</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6"/>
        <w:gridCol w:w="1728"/>
        <w:gridCol w:w="3027"/>
        <w:gridCol w:w="3749"/>
        <w:gridCol w:w="1296"/>
        <w:gridCol w:w="2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1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2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08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3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46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0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0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3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466人</w:t>
            </w:r>
          </w:p>
        </w:tc>
        <w:tc>
          <w:tcPr>
            <w:tcW w:w="10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rPr>
                <w:rFonts w:hint="eastAsia" w:ascii="仿宋_GB2312" w:hAnsi="仿宋_GB2312" w:eastAsia="仿宋_GB2312" w:cs="仿宋_GB2312"/>
              </w:rPr>
            </w:pPr>
          </w:p>
        </w:tc>
        <w:tc>
          <w:tcPr>
            <w:tcW w:w="6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0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3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0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rPr>
                <w:rFonts w:hint="eastAsia" w:ascii="仿宋_GB2312" w:hAnsi="仿宋_GB2312" w:eastAsia="仿宋_GB2312" w:cs="仿宋_GB2312"/>
              </w:rPr>
            </w:pPr>
          </w:p>
        </w:tc>
        <w:tc>
          <w:tcPr>
            <w:tcW w:w="6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0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3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0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rPr>
                <w:rFonts w:hint="eastAsia" w:ascii="仿宋_GB2312" w:hAnsi="仿宋_GB2312" w:eastAsia="仿宋_GB2312" w:cs="仿宋_GB2312"/>
              </w:rPr>
            </w:pPr>
          </w:p>
        </w:tc>
        <w:tc>
          <w:tcPr>
            <w:tcW w:w="6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0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3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735元/生</w:t>
            </w:r>
          </w:p>
        </w:tc>
        <w:tc>
          <w:tcPr>
            <w:tcW w:w="10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0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13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10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0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0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outlineLvl w:val="3"/>
        <w:rPr>
          <w:rFonts w:hint="eastAsia" w:ascii="仿宋_GB2312" w:hAnsi="仿宋_GB2312" w:eastAsia="仿宋_GB2312" w:cs="仿宋_GB2312"/>
          <w:color w:val="000000"/>
          <w:sz w:val="28"/>
        </w:rPr>
      </w:pPr>
      <w:bookmarkStart w:id="3" w:name="_Toc_4_4_0000000006"/>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3.合同制教师人员经费绩效目标表</w:t>
      </w:r>
      <w:bookmarkEnd w:id="3"/>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33"/>
        <w:gridCol w:w="1250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4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33"/>
        <w:gridCol w:w="2219"/>
        <w:gridCol w:w="2322"/>
        <w:gridCol w:w="3281"/>
        <w:gridCol w:w="2227"/>
        <w:gridCol w:w="24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9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83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17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9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88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83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11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4人工资福利</w:t>
            </w:r>
          </w:p>
        </w:tc>
        <w:tc>
          <w:tcPr>
            <w:tcW w:w="7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4人</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rPr>
                <w:rFonts w:hint="eastAsia" w:ascii="仿宋_GB2312" w:hAnsi="仿宋_GB2312" w:eastAsia="仿宋_GB2312" w:cs="仿宋_GB2312"/>
              </w:rPr>
            </w:pPr>
          </w:p>
        </w:tc>
        <w:tc>
          <w:tcPr>
            <w:tcW w:w="7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83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11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7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rPr>
                <w:rFonts w:hint="eastAsia" w:ascii="仿宋_GB2312" w:hAnsi="仿宋_GB2312" w:eastAsia="仿宋_GB2312" w:cs="仿宋_GB2312"/>
              </w:rPr>
            </w:pPr>
          </w:p>
        </w:tc>
        <w:tc>
          <w:tcPr>
            <w:tcW w:w="7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83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11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7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rPr>
                <w:rFonts w:hint="eastAsia" w:ascii="仿宋_GB2312" w:hAnsi="仿宋_GB2312" w:eastAsia="仿宋_GB2312" w:cs="仿宋_GB2312"/>
              </w:rPr>
            </w:pPr>
          </w:p>
        </w:tc>
        <w:tc>
          <w:tcPr>
            <w:tcW w:w="7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83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11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7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rPr>
                <w:rFonts w:hint="eastAsia" w:ascii="仿宋_GB2312" w:hAnsi="仿宋_GB2312" w:eastAsia="仿宋_GB2312" w:cs="仿宋_GB2312"/>
              </w:rPr>
            </w:pPr>
          </w:p>
        </w:tc>
        <w:tc>
          <w:tcPr>
            <w:tcW w:w="7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83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11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7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3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11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7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3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11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7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rPr>
                <w:rFonts w:hint="eastAsia" w:ascii="仿宋_GB2312" w:hAnsi="仿宋_GB2312" w:eastAsia="仿宋_GB2312" w:cs="仿宋_GB2312"/>
              </w:rPr>
            </w:pPr>
          </w:p>
        </w:tc>
        <w:tc>
          <w:tcPr>
            <w:tcW w:w="7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3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11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7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rPr>
                <w:rFonts w:hint="eastAsia" w:ascii="仿宋_GB2312" w:hAnsi="仿宋_GB2312" w:eastAsia="仿宋_GB2312" w:cs="仿宋_GB2312"/>
              </w:rPr>
            </w:pPr>
          </w:p>
        </w:tc>
        <w:tc>
          <w:tcPr>
            <w:tcW w:w="7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3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11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7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outlineLvl w:val="3"/>
        <w:rPr>
          <w:rFonts w:hint="eastAsia" w:ascii="仿宋_GB2312" w:hAnsi="仿宋_GB2312" w:eastAsia="仿宋_GB2312" w:cs="仿宋_GB2312"/>
        </w:rPr>
      </w:pPr>
      <w:bookmarkStart w:id="4" w:name="_Toc_4_4_0000000007"/>
      <w:r>
        <w:rPr>
          <w:rFonts w:hint="eastAsia" w:ascii="仿宋_GB2312" w:hAnsi="仿宋_GB2312" w:eastAsia="仿宋_GB2312" w:cs="仿宋_GB2312"/>
          <w:color w:val="000000"/>
          <w:sz w:val="28"/>
        </w:rPr>
        <w:t>4.教育经费绩效目标表</w:t>
      </w:r>
      <w:bookmarkEnd w:id="4"/>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outlineLvl w:val="3"/>
        <w:rPr>
          <w:rFonts w:hint="eastAsia" w:ascii="仿宋_GB2312" w:hAnsi="仿宋_GB2312" w:eastAsia="仿宋_GB2312" w:cs="仿宋_GB2312"/>
        </w:rPr>
      </w:pPr>
      <w:bookmarkStart w:id="5" w:name="_Toc_4_4_0000000008"/>
      <w:r>
        <w:rPr>
          <w:rFonts w:hint="eastAsia" w:ascii="仿宋_GB2312" w:hAnsi="仿宋_GB2312" w:eastAsia="仿宋_GB2312" w:cs="仿宋_GB2312"/>
          <w:color w:val="000000"/>
          <w:sz w:val="28"/>
        </w:rPr>
        <w:t>5.幼儿园生均经费绩效目标表</w:t>
      </w:r>
      <w:bookmarkEnd w:id="5"/>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38"/>
        <w:gridCol w:w="1243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38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1.保障学前教育学校运转，改善学校基本办学条件，促进学前教育均衡发展及学生素质提高。</w:t>
            </w:r>
          </w:p>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2.廊坊市广阳区九州镇南汉中心小学对2022年在校学生198人，按照学前教育生均公用经费标准申请财政预算资金，通过合理、合规使用资金达到保证学校正常运转，改善办学条件，促进学前教育发展。</w:t>
            </w:r>
          </w:p>
        </w:tc>
      </w:tr>
    </w:tbl>
    <w:p>
      <w:pPr>
        <w:spacing w:line="360" w:lineRule="exact"/>
        <w:rPr>
          <w:rFonts w:hint="eastAsia" w:ascii="仿宋_GB2312" w:hAnsi="仿宋_GB2312" w:eastAsia="仿宋_GB2312" w:cs="仿宋_GB2312"/>
        </w:rPr>
      </w:pP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23"/>
        <w:gridCol w:w="1585"/>
        <w:gridCol w:w="2305"/>
        <w:gridCol w:w="3025"/>
        <w:gridCol w:w="1298"/>
        <w:gridCol w:w="42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8"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559"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813"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067"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458"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1495"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pct"/>
            <w:vMerge w:val="restart"/>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5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813"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06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458"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198人</w:t>
            </w:r>
          </w:p>
        </w:tc>
        <w:tc>
          <w:tcPr>
            <w:tcW w:w="149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pct"/>
            <w:vMerge w:val="continue"/>
            <w:vAlign w:val="center"/>
          </w:tcPr>
          <w:p>
            <w:pPr>
              <w:spacing w:line="360" w:lineRule="exact"/>
              <w:rPr>
                <w:rFonts w:hint="eastAsia" w:ascii="仿宋_GB2312" w:hAnsi="仿宋_GB2312" w:eastAsia="仿宋_GB2312" w:cs="仿宋_GB2312"/>
              </w:rPr>
            </w:pPr>
          </w:p>
        </w:tc>
        <w:tc>
          <w:tcPr>
            <w:tcW w:w="5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813"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06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458"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49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pct"/>
            <w:vMerge w:val="continue"/>
            <w:vAlign w:val="center"/>
          </w:tcPr>
          <w:p>
            <w:pPr>
              <w:spacing w:line="360" w:lineRule="exact"/>
              <w:rPr>
                <w:rFonts w:hint="eastAsia" w:ascii="仿宋_GB2312" w:hAnsi="仿宋_GB2312" w:eastAsia="仿宋_GB2312" w:cs="仿宋_GB2312"/>
              </w:rPr>
            </w:pPr>
          </w:p>
        </w:tc>
        <w:tc>
          <w:tcPr>
            <w:tcW w:w="5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813"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06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458"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49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pct"/>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5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13"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106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458"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149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pct"/>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5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13"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6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58"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149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安排政府采购预算0万元。具体内容见下表。</w:t>
      </w:r>
    </w:p>
    <w:bookmarkEnd w:id="6"/>
    <w:p>
      <w:pPr>
        <w:jc w:val="center"/>
        <w:outlineLvl w:val="1"/>
        <w:rPr>
          <w:rFonts w:ascii="方正小标宋_GBK" w:eastAsia="方正小标宋_GBK" w:cs="Times New Roman"/>
          <w:sz w:val="32"/>
        </w:rPr>
      </w:pPr>
      <w:bookmarkStart w:id="7"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7"/>
    </w:p>
    <w:p>
      <w:pPr>
        <w:outlineLvl w:val="1"/>
        <w:rPr>
          <w:rFonts w:ascii="方正小标宋_GBK" w:eastAsia="方正小标宋_GBK" w:cs="Times New Roman"/>
          <w:sz w:val="32"/>
        </w:rPr>
      </w:pPr>
      <w:r>
        <w:t>[971001]廊坊市</w:t>
      </w:r>
      <w:r>
        <w:rPr>
          <w:rFonts w:hint="eastAsia"/>
        </w:rPr>
        <w:t>广阳区九州镇南汉中心小学</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87"/>
        <w:gridCol w:w="1043"/>
        <w:gridCol w:w="1043"/>
        <w:gridCol w:w="652"/>
        <w:gridCol w:w="782"/>
        <w:gridCol w:w="782"/>
        <w:gridCol w:w="887"/>
        <w:gridCol w:w="887"/>
        <w:gridCol w:w="887"/>
        <w:gridCol w:w="887"/>
        <w:gridCol w:w="887"/>
        <w:gridCol w:w="888"/>
        <w:gridCol w:w="888"/>
        <w:gridCol w:w="888"/>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9"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2" w:type="pct"/>
            <w:gridSpan w:val="8"/>
            <w:vAlign w:val="center"/>
          </w:tcPr>
          <w:p>
            <w:pPr>
              <w:pStyle w:val="12"/>
            </w:pPr>
            <w:r>
              <w:t>政府采购金额（当年</w:t>
            </w:r>
            <w:r>
              <w:rPr>
                <w:rFonts w:hint="eastAsia"/>
                <w:lang w:eastAsia="zh-CN"/>
              </w:rPr>
              <w:t>单位</w:t>
            </w:r>
            <w:r>
              <w:t>预算安排资金）</w:t>
            </w:r>
          </w:p>
        </w:tc>
        <w:tc>
          <w:tcPr>
            <w:tcW w:w="313"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pPr>
            <w:r>
              <w:t>项目名称</w:t>
            </w:r>
          </w:p>
        </w:tc>
        <w:tc>
          <w:tcPr>
            <w:tcW w:w="313"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1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r>
              <w:t>合  计</w:t>
            </w: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4"/>
            </w:pPr>
          </w:p>
        </w:tc>
        <w:tc>
          <w:tcPr>
            <w:tcW w:w="313" w:type="pct"/>
            <w:vAlign w:val="center"/>
          </w:tcPr>
          <w:p>
            <w:pPr>
              <w:pStyle w:val="13"/>
            </w:pPr>
          </w:p>
        </w:tc>
        <w:tc>
          <w:tcPr>
            <w:tcW w:w="368" w:type="pct"/>
            <w:vAlign w:val="center"/>
          </w:tcPr>
          <w:p>
            <w:pPr>
              <w:pStyle w:val="14"/>
            </w:pPr>
          </w:p>
        </w:tc>
        <w:tc>
          <w:tcPr>
            <w:tcW w:w="368" w:type="pct"/>
            <w:vAlign w:val="center"/>
          </w:tcPr>
          <w:p>
            <w:pPr>
              <w:pStyle w:val="14"/>
            </w:pPr>
          </w:p>
        </w:tc>
        <w:tc>
          <w:tcPr>
            <w:tcW w:w="230" w:type="pct"/>
            <w:vAlign w:val="center"/>
          </w:tcPr>
          <w:p>
            <w:pPr>
              <w:pStyle w:val="15"/>
            </w:pPr>
          </w:p>
        </w:tc>
        <w:tc>
          <w:tcPr>
            <w:tcW w:w="276" w:type="pct"/>
            <w:vAlign w:val="center"/>
          </w:tcPr>
          <w:p>
            <w:pPr>
              <w:pStyle w:val="13"/>
            </w:pPr>
          </w:p>
        </w:tc>
        <w:tc>
          <w:tcPr>
            <w:tcW w:w="276"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广阳区九州镇南汉中心小学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227.3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 xml:space="preserve"> </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广阳区九州镇南汉中心小学</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广阳区九州镇南汉中心小学</w:t>
            </w:r>
          </w:p>
        </w:tc>
        <w:tc>
          <w:tcPr>
            <w:tcW w:w="5103" w:type="dxa"/>
            <w:tcBorders>
              <w:top w:val="nil"/>
              <w:left w:val="nil"/>
              <w:bottom w:val="nil"/>
              <w:right w:val="nil"/>
            </w:tcBorders>
            <w:shd w:val="clear" w:color="auto" w:fill="auto"/>
            <w:noWrap/>
            <w:vAlign w:val="center"/>
          </w:tcPr>
          <w:p>
            <w:pPr>
              <w:widowControl/>
              <w:spacing w:line="584" w:lineRule="exact"/>
              <w:ind w:firstLine="1540" w:firstLineChars="7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227.3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1251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r>
              <w:rPr>
                <w:rFonts w:ascii="Times New Roman" w:hAnsi="Times New Roman" w:eastAsia="仿宋_GB2312" w:cs="Times New Roman"/>
                <w:sz w:val="22"/>
              </w:rPr>
              <w:t>27.3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1251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r>
              <w:rPr>
                <w:rFonts w:ascii="Times New Roman" w:hAnsi="Times New Roman" w:eastAsia="仿宋_GB2312" w:cs="Times New Roman"/>
                <w:sz w:val="22"/>
              </w:rPr>
              <w:t>27.3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19E4EC-0406-437F-8F8A-B745D1AD37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宋体"/>
    <w:panose1 w:val="00000000000000000000"/>
    <w:charset w:val="86"/>
    <w:family w:val="auto"/>
    <w:pitch w:val="default"/>
    <w:sig w:usb0="00000000" w:usb1="00000000" w:usb2="00082016" w:usb3="00000000" w:csb0="00040001" w:csb1="00000000"/>
  </w:font>
  <w:font w:name="方正仿宋_GBK">
    <w:panose1 w:val="02000000000000000000"/>
    <w:charset w:val="86"/>
    <w:family w:val="auto"/>
    <w:pitch w:val="default"/>
    <w:sig w:usb0="A00002BF" w:usb1="38CF7CFA" w:usb2="00082016" w:usb3="00000000" w:csb0="00040001" w:csb1="00000000"/>
    <w:embedRegular r:id="rId2" w:fontKey="{8388E4DC-BD64-4DB9-BEDC-A725965C2F7A}"/>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9536D79E-5172-4D2A-A472-21840C37A44A}"/>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B0724"/>
    <w:multiLevelType w:val="singleLevel"/>
    <w:tmpl w:val="BBDB0724"/>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1MzJjNTBhNGFmZWFjOWNkNzBiMDRhNDMxMDgwZTEifQ=="/>
  </w:docVars>
  <w:rsids>
    <w:rsidRoot w:val="00D347CC"/>
    <w:rsid w:val="00016118"/>
    <w:rsid w:val="000230E6"/>
    <w:rsid w:val="000A3C6C"/>
    <w:rsid w:val="000A5280"/>
    <w:rsid w:val="000B2358"/>
    <w:rsid w:val="000F6018"/>
    <w:rsid w:val="0015329E"/>
    <w:rsid w:val="001677D2"/>
    <w:rsid w:val="0018101C"/>
    <w:rsid w:val="00191A26"/>
    <w:rsid w:val="002019FF"/>
    <w:rsid w:val="0025632D"/>
    <w:rsid w:val="00284C42"/>
    <w:rsid w:val="00287EF8"/>
    <w:rsid w:val="003059E0"/>
    <w:rsid w:val="0030795F"/>
    <w:rsid w:val="00353843"/>
    <w:rsid w:val="003C0DEF"/>
    <w:rsid w:val="00410413"/>
    <w:rsid w:val="00451489"/>
    <w:rsid w:val="00454732"/>
    <w:rsid w:val="004669C5"/>
    <w:rsid w:val="004A0D85"/>
    <w:rsid w:val="004A54AA"/>
    <w:rsid w:val="00505222"/>
    <w:rsid w:val="00580FE3"/>
    <w:rsid w:val="00710155"/>
    <w:rsid w:val="00723090"/>
    <w:rsid w:val="00730C32"/>
    <w:rsid w:val="0085678B"/>
    <w:rsid w:val="008A540B"/>
    <w:rsid w:val="008A6F8C"/>
    <w:rsid w:val="00923F99"/>
    <w:rsid w:val="00944233"/>
    <w:rsid w:val="00A2581E"/>
    <w:rsid w:val="00A361A5"/>
    <w:rsid w:val="00AC1133"/>
    <w:rsid w:val="00B132E9"/>
    <w:rsid w:val="00B242F6"/>
    <w:rsid w:val="00B40732"/>
    <w:rsid w:val="00B80935"/>
    <w:rsid w:val="00BE0480"/>
    <w:rsid w:val="00C814FA"/>
    <w:rsid w:val="00C9411A"/>
    <w:rsid w:val="00CA26D3"/>
    <w:rsid w:val="00D303EB"/>
    <w:rsid w:val="00D347CC"/>
    <w:rsid w:val="00D54A85"/>
    <w:rsid w:val="00D91BFC"/>
    <w:rsid w:val="00DC72B4"/>
    <w:rsid w:val="00DF7CFA"/>
    <w:rsid w:val="00F114D2"/>
    <w:rsid w:val="00FA6161"/>
    <w:rsid w:val="00FE4772"/>
    <w:rsid w:val="028325FC"/>
    <w:rsid w:val="02FD561D"/>
    <w:rsid w:val="09D539CD"/>
    <w:rsid w:val="0CEC1180"/>
    <w:rsid w:val="131556BA"/>
    <w:rsid w:val="21655956"/>
    <w:rsid w:val="2329796F"/>
    <w:rsid w:val="2AA51C04"/>
    <w:rsid w:val="33537BB7"/>
    <w:rsid w:val="34E84AE2"/>
    <w:rsid w:val="584552BD"/>
    <w:rsid w:val="5DCE1B97"/>
    <w:rsid w:val="63C01990"/>
    <w:rsid w:val="65F30ABB"/>
    <w:rsid w:val="660464CF"/>
    <w:rsid w:val="710E2B0E"/>
    <w:rsid w:val="73693C55"/>
    <w:rsid w:val="7BFA48F1"/>
    <w:rsid w:val="7CCB1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1331</Words>
  <Characters>7588</Characters>
  <Lines>63</Lines>
  <Paragraphs>17</Paragraphs>
  <TotalTime>2</TotalTime>
  <ScaleCrop>false</ScaleCrop>
  <LinksUpToDate>false</LinksUpToDate>
  <CharactersWithSpaces>8902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2022-03-08T02:32:00Z</dcterms:created>
  <dc:creator>guest</dc:creator>
  <cp:lastModifiedBy>CXL</cp:lastModifiedBy>
  <cp:lastPrinted>2018-01-30T06:12:00Z</cp:lastPrinted>
  <dcterms:modified xsi:type="dcterms:W3CDTF">2023-08-01T09:25:26Z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B715999EFA7D4AF7A8E080838F34E709</vt:lpwstr>
  </property>
</Properties>
</file>