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中共廊坊市广阳区委区直机关工作委员会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(一）统一组织、规划、部署区直机关党的工作，提出加强和改进机关党的建设的意见和建议，研究制定工作规划，并抓好组织实施。</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(二）指导区直机关党的政治建设、思想建设、组织建设、作风建设、纪律建设，把制度建设贯彻其中，深入推进反腐败斗争。</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(三）指导区直机关各级党组织和广大党员学习马克思列宁主义、毛泽东思想、邓小平理论、“三个代表”重要思想、科学发展观、习近平新时代中国特色社会主义思想。</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(四）对区直机关各级党组织、党员领导干部落实党建责任制、遵守政治纪律和政治规矩情况进行监督检查，并向区委报告。</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(五）指导区直机关各级党组织实施对党员特别是党员领导干部的监督和管理，监督党员领导干部过好双重组织生活。</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(六）督促指导区直机关各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机关党委按期换届，审批关于召开党员大会或党员代表大会的请示。按照党章和基层党组织选举工作暂行条例规定，负责审批区直机关直属党组织设置及委员会组成。</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(七）指导各级党组织加强基层组织建设，做好党员发展、教育管理等工作。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(八）了解掌握区直机关工作人员的思想状况，指导区直机关各级党组织加强思想政治工作和精神文明建设。</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(九）协同有关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指导、规划、协调、监督区直机关党员干部教育培训工作，组织实施有关党员干部教育培训重点任务。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（十）协助有关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协调区直机关各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做好维护稳定等工作。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中共廊坊市广阳区委区直机关工作委员会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中共廊坊市广阳区委区直机关工作委员会2022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158.6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130.97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27.63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16.95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6.95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人员类项目经费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27.63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区直工委</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14:textFill>
            <w14:solidFill>
              <w14:schemeClr w14:val="tx1"/>
            </w14:solidFill>
          </w14:textFill>
        </w:rPr>
        <w:t>持平，无增减变化。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kinsoku/>
        <w:wordWrap/>
        <w:overflowPunct/>
        <w:topLinePunct w:val="0"/>
        <w:autoSpaceDE/>
        <w:autoSpaceDN/>
        <w:bidi w:val="0"/>
        <w:adjustRightInd/>
        <w:snapToGrid/>
        <w:spacing w:line="584"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深入开展“红色领航 助力发展”城市基层党建品牌创建工作</w:t>
      </w:r>
      <w:r>
        <w:rPr>
          <w:rFonts w:hint="eastAsia" w:ascii="仿宋_GB2312" w:hAnsi="仿宋_GB2312" w:eastAsia="仿宋_GB2312" w:cs="仿宋_GB2312"/>
          <w:kern w:val="0"/>
          <w:sz w:val="32"/>
          <w:szCs w:val="32"/>
        </w:rPr>
        <w:t>，用于“红色领航、助力发展”城市基层党建品牌创建工作，在城市基层党建的各领域党组织中，培育出一批拿得出、叫得响、有特色、有亮点的品牌，探索出一套目标化引领、动态化管理、项目化培育和制度化运行的品牌创建工作机制，大力营造鼓励创新、争创品牌的党建工作氛围，切实提高城市基层党建工作科学化规范化水平，开展城市基层党建品牌创建工作。</w:t>
      </w:r>
      <w:r>
        <w:rPr>
          <w:rFonts w:hint="eastAsia" w:ascii="仿宋_GB2312" w:hAnsi="Times New Roman" w:eastAsia="仿宋_GB2312"/>
          <w:kern w:val="0"/>
          <w:sz w:val="32"/>
          <w:szCs w:val="32"/>
        </w:rPr>
        <w:t>通过</w:t>
      </w:r>
      <w:r>
        <w:rPr>
          <w:rFonts w:hint="eastAsia" w:ascii="仿宋_GB2312" w:hAnsi="仿宋_GB2312" w:eastAsia="仿宋_GB2312" w:cs="仿宋_GB2312"/>
          <w:color w:val="000000"/>
          <w:kern w:val="0"/>
          <w:sz w:val="32"/>
          <w:szCs w:val="32"/>
        </w:rPr>
        <w:t>开展“红色领航</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助力发展”城市基层党建品牌创建工作，</w:t>
      </w:r>
      <w:r>
        <w:rPr>
          <w:rFonts w:hint="eastAsia" w:ascii="仿宋_GB2312" w:hAnsi="Times New Roman" w:eastAsia="仿宋_GB2312"/>
          <w:kern w:val="0"/>
          <w:sz w:val="32"/>
          <w:szCs w:val="32"/>
        </w:rPr>
        <w:t>实现培育出一批拿得出、叫得响、有特色、有亮点的品牌，探索出一套目标化引领、动态化管理、项目化培育和制度化运行的品牌创建工作机制，大力营造鼓励创新、争创品牌的党建工作氛围，切实提高城市基层党建工作科学化规范化水平。</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rPr>
          <w:rFonts w:ascii="仿宋_GB2312" w:hAnsi="Times New Roman" w:eastAsia="仿宋_GB2312"/>
          <w:kern w:val="0"/>
          <w:sz w:val="32"/>
          <w:szCs w:val="32"/>
        </w:rPr>
      </w:pPr>
      <w:r>
        <w:rPr>
          <w:rFonts w:hint="eastAsia" w:ascii="仿宋" w:hAnsi="仿宋" w:eastAsia="仿宋" w:cs="方正仿宋_GBK"/>
          <w:sz w:val="32"/>
          <w:szCs w:val="32"/>
          <w:lang w:val="en"/>
        </w:rPr>
        <w:t>绩效目标：</w:t>
      </w:r>
      <w:r>
        <w:rPr>
          <w:rFonts w:hint="eastAsia" w:ascii="仿宋_GB2312" w:hAnsi="Times New Roman" w:eastAsia="仿宋_GB2312"/>
          <w:kern w:val="0"/>
          <w:sz w:val="32"/>
          <w:szCs w:val="32"/>
        </w:rPr>
        <w:t>通过</w:t>
      </w:r>
      <w:r>
        <w:rPr>
          <w:rFonts w:hint="eastAsia" w:ascii="仿宋_GB2312" w:hAnsi="仿宋_GB2312" w:eastAsia="仿宋_GB2312" w:cs="仿宋_GB2312"/>
          <w:color w:val="000000"/>
          <w:kern w:val="0"/>
          <w:sz w:val="32"/>
          <w:szCs w:val="32"/>
        </w:rPr>
        <w:t>开展“红色领航</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助力发展”城市基层党建品牌创建工作，</w:t>
      </w:r>
      <w:r>
        <w:rPr>
          <w:rFonts w:hint="eastAsia" w:ascii="仿宋_GB2312" w:hAnsi="Times New Roman" w:eastAsia="仿宋_GB2312"/>
          <w:kern w:val="0"/>
          <w:sz w:val="32"/>
          <w:szCs w:val="32"/>
        </w:rPr>
        <w:t>实现培育出一批拿得出、叫得响、有特色、有亮点的品牌，探索出一套目标化引领、动态化管理、项目化培育和制度化运行的品牌创建工作机制，大力营造鼓励创新、争创品牌的党建工作氛围，切实提高城市基层党建工作科学化规范化水平。</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绩效指标：数量</w:t>
      </w:r>
      <w:r>
        <w:rPr>
          <w:rFonts w:hint="eastAsia" w:ascii="仿宋_GB2312" w:hAnsi="仿宋_GB2312" w:eastAsia="仿宋_GB2312" w:cs="仿宋_GB2312"/>
          <w:b w:val="0"/>
          <w:bCs w:val="0"/>
          <w:color w:val="000000"/>
          <w:kern w:val="0"/>
          <w:sz w:val="32"/>
          <w:szCs w:val="32"/>
          <w:lang w:bidi="ar"/>
        </w:rPr>
        <w:t>加强全区区直机关城市基层党建品牌创建建设，增强区直机关的创造力、凝聚力和战斗力，基层组织活动室及党务干部配备完善，建立健全区直系统200余个党支部。</w:t>
      </w:r>
      <w:r>
        <w:rPr>
          <w:rFonts w:hint="eastAsia" w:ascii="仿宋_GB2312" w:hAnsi="仿宋_GB2312" w:eastAsia="仿宋_GB2312" w:cs="仿宋_GB2312"/>
          <w:b w:val="0"/>
          <w:bCs w:val="0"/>
          <w:sz w:val="32"/>
          <w:szCs w:val="32"/>
          <w:lang w:val="en"/>
        </w:rPr>
        <w:t>时效及时高效的对基层党组织建设进行督导检查，提高服务质量。质量</w:t>
      </w:r>
      <w:r>
        <w:rPr>
          <w:rFonts w:hint="eastAsia" w:ascii="仿宋_GB2312" w:hAnsi="仿宋_GB2312" w:eastAsia="仿宋_GB2312" w:cs="仿宋_GB2312"/>
          <w:b w:val="0"/>
          <w:bCs w:val="0"/>
          <w:color w:val="000000"/>
          <w:kern w:val="0"/>
          <w:sz w:val="32"/>
          <w:szCs w:val="32"/>
          <w:lang w:bidi="ar"/>
        </w:rPr>
        <w:t>全区机关单位城市基层党建品牌建设逐步完善。</w:t>
      </w:r>
      <w:r>
        <w:rPr>
          <w:rFonts w:hint="eastAsia" w:ascii="仿宋_GB2312" w:hAnsi="仿宋_GB2312" w:eastAsia="仿宋_GB2312" w:cs="仿宋_GB2312"/>
          <w:b w:val="0"/>
          <w:bCs w:val="0"/>
          <w:sz w:val="32"/>
          <w:szCs w:val="32"/>
          <w:lang w:val="en"/>
        </w:rPr>
        <w:t>成本成本控制小于</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
        </w:rPr>
        <w:t>万。社会效益推动党建工作的完善，提供服务次数。满意度服务基层党组织满意度大于9</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
        </w:rPr>
        <w:t>%。</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baseline"/>
        <w:rPr>
          <w:rStyle w:val="20"/>
          <w:rFonts w:ascii="仿宋" w:hAnsi="仿宋" w:eastAsia="仿宋"/>
          <w:sz w:val="32"/>
          <w:szCs w:val="32"/>
        </w:rPr>
      </w:pPr>
      <w:r>
        <w:rPr>
          <w:rStyle w:val="20"/>
          <w:rFonts w:hint="eastAsia" w:ascii="仿宋" w:hAnsi="仿宋" w:eastAsia="仿宋"/>
          <w:sz w:val="32"/>
          <w:szCs w:val="32"/>
          <w:lang w:val="en-US"/>
        </w:rPr>
        <w:t>1、</w:t>
      </w:r>
      <w:r>
        <w:rPr>
          <w:rStyle w:val="20"/>
          <w:rFonts w:ascii="仿宋" w:hAnsi="仿宋" w:eastAsia="仿宋"/>
          <w:sz w:val="32"/>
          <w:szCs w:val="32"/>
        </w:rPr>
        <w:t>职责明确。</w:t>
      </w:r>
      <w:r>
        <w:rPr>
          <w:rStyle w:val="20"/>
          <w:rFonts w:hint="eastAsia" w:ascii="仿宋" w:hAnsi="仿宋" w:eastAsia="仿宋"/>
          <w:color w:val="000000"/>
          <w:sz w:val="32"/>
          <w:szCs w:val="32"/>
        </w:rPr>
        <w:t>区直工委</w:t>
      </w:r>
      <w:r>
        <w:rPr>
          <w:rStyle w:val="20"/>
          <w:rFonts w:ascii="仿宋" w:hAnsi="仿宋" w:eastAsia="仿宋"/>
          <w:color w:val="000000"/>
          <w:sz w:val="32"/>
          <w:szCs w:val="32"/>
        </w:rPr>
        <w:t>高度重视预算绩效管理，及时成立预算绩效管理小组</w:t>
      </w:r>
      <w:r>
        <w:rPr>
          <w:rStyle w:val="20"/>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baseline"/>
        <w:rPr>
          <w:rStyle w:val="20"/>
          <w:rFonts w:ascii="仿宋" w:hAnsi="仿宋" w:eastAsia="仿宋"/>
          <w:sz w:val="32"/>
          <w:szCs w:val="32"/>
        </w:rPr>
      </w:pPr>
      <w:r>
        <w:rPr>
          <w:rStyle w:val="20"/>
          <w:rFonts w:hint="eastAsia" w:ascii="仿宋" w:hAnsi="仿宋" w:eastAsia="仿宋"/>
          <w:sz w:val="32"/>
          <w:szCs w:val="32"/>
          <w:lang w:val="en-US"/>
        </w:rPr>
        <w:t>2、</w:t>
      </w:r>
      <w:r>
        <w:rPr>
          <w:rStyle w:val="20"/>
          <w:rFonts w:ascii="仿宋" w:hAnsi="仿宋" w:eastAsia="仿宋"/>
          <w:sz w:val="32"/>
          <w:szCs w:val="32"/>
        </w:rPr>
        <w:t>制度建设。为了能更好的发挥预算绩效管理的最大潜能，我单位在以往的工作基础上制定了内部操作的相关规定，做为预算绩效管理的依据。</w:t>
      </w:r>
      <w:r>
        <w:rPr>
          <w:rStyle w:val="20"/>
          <w:rFonts w:ascii="仿宋" w:hAnsi="仿宋"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baseline"/>
        <w:rPr>
          <w:rStyle w:val="20"/>
          <w:rFonts w:ascii="仿宋" w:hAnsi="仿宋" w:eastAsia="仿宋"/>
          <w:sz w:val="32"/>
          <w:szCs w:val="32"/>
        </w:rPr>
      </w:pPr>
      <w:r>
        <w:rPr>
          <w:rStyle w:val="20"/>
          <w:rFonts w:hint="eastAsia" w:ascii="仿宋" w:hAnsi="仿宋" w:eastAsia="仿宋"/>
          <w:sz w:val="32"/>
          <w:szCs w:val="32"/>
          <w:lang w:val="en-US"/>
        </w:rPr>
        <w:t>3、</w:t>
      </w:r>
      <w:r>
        <w:rPr>
          <w:rStyle w:val="20"/>
          <w:rFonts w:ascii="仿宋" w:hAnsi="仿宋" w:eastAsia="仿宋"/>
          <w:sz w:val="32"/>
          <w:szCs w:val="32"/>
        </w:rPr>
        <w:t>绩效目标管理。区</w:t>
      </w:r>
      <w:r>
        <w:rPr>
          <w:rStyle w:val="20"/>
          <w:rFonts w:hint="eastAsia" w:ascii="仿宋" w:hAnsi="仿宋" w:eastAsia="仿宋"/>
          <w:sz w:val="32"/>
          <w:szCs w:val="32"/>
        </w:rPr>
        <w:t>直工委</w:t>
      </w:r>
      <w:r>
        <w:rPr>
          <w:rStyle w:val="20"/>
          <w:rFonts w:ascii="仿宋" w:hAnsi="仿宋" w:eastAsia="仿宋"/>
          <w:sz w:val="32"/>
          <w:szCs w:val="32"/>
        </w:rPr>
        <w:t>严格按照上级的要求在规定的时间报送绩效目标，将单位全部资金纳入绩效目标管理的资金总额，申报的绩效目标符合规定的格式要求，相关内容完整，绩效目标设定符合项目特点，绩效指标设定符合基本要求，并严格按照绩效目标落实各项日常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baseline"/>
        <w:rPr>
          <w:rStyle w:val="20"/>
          <w:rFonts w:ascii="仿宋" w:hAnsi="仿宋" w:eastAsia="仿宋"/>
          <w:sz w:val="32"/>
          <w:szCs w:val="32"/>
        </w:rPr>
      </w:pPr>
      <w:r>
        <w:rPr>
          <w:rStyle w:val="20"/>
          <w:rFonts w:hint="eastAsia" w:ascii="仿宋" w:hAnsi="仿宋" w:eastAsia="仿宋"/>
          <w:sz w:val="32"/>
          <w:szCs w:val="32"/>
          <w:lang w:val="en-US"/>
        </w:rPr>
        <w:t>4、</w:t>
      </w:r>
      <w:r>
        <w:rPr>
          <w:rStyle w:val="20"/>
          <w:rFonts w:ascii="仿宋" w:hAnsi="仿宋" w:eastAsia="仿宋"/>
          <w:sz w:val="32"/>
          <w:szCs w:val="32"/>
        </w:rPr>
        <w:t>绩效评价管理。从整体情况来看，我单位在预算编制、预算执行、支出绩效方面，严格按照规定执行，涉及“三重一大”事项必须经</w:t>
      </w:r>
      <w:r>
        <w:rPr>
          <w:rStyle w:val="20"/>
          <w:rFonts w:hint="eastAsia" w:ascii="仿宋" w:hAnsi="仿宋" w:eastAsia="仿宋"/>
          <w:sz w:val="32"/>
          <w:szCs w:val="32"/>
        </w:rPr>
        <w:t>班子</w:t>
      </w:r>
      <w:r>
        <w:rPr>
          <w:rStyle w:val="20"/>
          <w:rFonts w:ascii="仿宋" w:hAnsi="仿宋" w:eastAsia="仿宋"/>
          <w:sz w:val="32"/>
          <w:szCs w:val="32"/>
        </w:rPr>
        <w:t>会讨论决定。严格按照资金管理办法，做到项目资金专项专用，无截留、无挪用等现象，使财政资金发挥最大使用效益。</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627"/>
        <w:gridCol w:w="1052"/>
        <w:gridCol w:w="1701"/>
        <w:gridCol w:w="4950"/>
        <w:gridCol w:w="2096"/>
        <w:gridCol w:w="607"/>
        <w:gridCol w:w="518"/>
        <w:gridCol w:w="658"/>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blHeader/>
          <w:jc w:val="center"/>
        </w:trPr>
        <w:tc>
          <w:tcPr>
            <w:tcW w:w="22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7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0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76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74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37"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63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24" w:type="pct"/>
            <w:vMerge w:val="continue"/>
            <w:tcBorders>
              <w:tl2br w:val="nil"/>
              <w:tr2bl w:val="nil"/>
            </w:tcBorders>
            <w:vAlign w:val="center"/>
          </w:tcPr>
          <w:p/>
        </w:tc>
        <w:tc>
          <w:tcPr>
            <w:tcW w:w="376" w:type="pct"/>
            <w:vMerge w:val="continue"/>
            <w:tcBorders>
              <w:tl2br w:val="nil"/>
              <w:tr2bl w:val="nil"/>
            </w:tcBorders>
            <w:vAlign w:val="center"/>
          </w:tcPr>
          <w:p/>
        </w:tc>
        <w:tc>
          <w:tcPr>
            <w:tcW w:w="608" w:type="pct"/>
            <w:vMerge w:val="continue"/>
            <w:tcBorders>
              <w:tl2br w:val="nil"/>
              <w:tr2bl w:val="nil"/>
            </w:tcBorders>
            <w:vAlign w:val="center"/>
          </w:tcPr>
          <w:p/>
        </w:tc>
        <w:tc>
          <w:tcPr>
            <w:tcW w:w="1769" w:type="pct"/>
            <w:vMerge w:val="continue"/>
            <w:tcBorders>
              <w:tl2br w:val="nil"/>
              <w:tr2bl w:val="nil"/>
            </w:tcBorders>
            <w:vAlign w:val="center"/>
          </w:tcPr>
          <w:p/>
        </w:tc>
        <w:tc>
          <w:tcPr>
            <w:tcW w:w="749" w:type="pct"/>
            <w:vMerge w:val="continue"/>
            <w:tcBorders>
              <w:tl2br w:val="nil"/>
              <w:tr2bl w:val="nil"/>
            </w:tcBorders>
            <w:vAlign w:val="center"/>
          </w:tcPr>
          <w:p/>
        </w:tc>
        <w:tc>
          <w:tcPr>
            <w:tcW w:w="21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8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3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633"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24"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加强全区区直机关城市基层党建品牌创建建设，增强区直机关的创造力、凝聚力和战斗力</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等于指标值得20分，大于或小于指标值10%得5分，其余情况视完成指标值情况得分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基层组织活动室及党务干部配备不完善。</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24" w:type="pct"/>
            <w:vMerge w:val="continue"/>
            <w:tcBorders>
              <w:tl2br w:val="nil"/>
              <w:tr2bl w:val="nil"/>
            </w:tcBorders>
            <w:vAlign w:val="center"/>
          </w:tcP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全区机关单位城市基层党建品牌建设逐步完善</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等于指标值得20分，大于或小于指标值10%得5分，其余情况视完成指标值情况得分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基层组织活动室及党务干部配备不完善。</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逐步完善</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4" w:hRule="atLeast"/>
          <w:jc w:val="center"/>
        </w:trPr>
        <w:tc>
          <w:tcPr>
            <w:tcW w:w="224" w:type="pct"/>
            <w:vMerge w:val="continue"/>
            <w:tcBorders>
              <w:tl2br w:val="nil"/>
              <w:tr2bl w:val="nil"/>
            </w:tcBorders>
            <w:vAlign w:val="center"/>
          </w:tcP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服务的完成度</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等于指标值得10分，大于或小于指标值10%得5分，其余情况视完成指标值情况得分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服务的完成度</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24" w:type="pct"/>
            <w:vMerge w:val="continue"/>
            <w:tcBorders>
              <w:tl2br w:val="nil"/>
              <w:tr2bl w:val="nil"/>
            </w:tcBorders>
            <w:vAlign w:val="center"/>
          </w:tcP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在预算资金内支出。</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等于指标值得10分，大于指标值得0分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超出预算资金支出</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24"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提供服务次数</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大于等于指标值得10分，小于指标值得0分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提供服务次数</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次</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24" w:type="pct"/>
            <w:vMerge w:val="continue"/>
            <w:tcBorders>
              <w:tl2br w:val="nil"/>
              <w:tr2bl w:val="nil"/>
            </w:tcBorders>
            <w:vAlign w:val="center"/>
          </w:tcP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08" w:type="pct"/>
            <w:tcBorders>
              <w:tl2br w:val="nil"/>
              <w:tr2bl w:val="nil"/>
            </w:tcBorders>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服务对象满意度</w:t>
            </w:r>
          </w:p>
        </w:tc>
        <w:tc>
          <w:tcPr>
            <w:tcW w:w="1769" w:type="pct"/>
            <w:tcBorders>
              <w:tl2br w:val="nil"/>
              <w:tr2bl w:val="nil"/>
            </w:tcBorders>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大于等于指标值得20分，小于指标值得0分。</w:t>
            </w:r>
          </w:p>
        </w:tc>
        <w:tc>
          <w:tcPr>
            <w:tcW w:w="749" w:type="pct"/>
            <w:tcBorders>
              <w:tl2br w:val="nil"/>
              <w:tr2bl w:val="nil"/>
            </w:tcBorders>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服务对象满意度</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hint="eastAsia" w:eastAsia="仿宋_GB2312"/>
          <w:kern w:val="0"/>
          <w:sz w:val="28"/>
          <w:szCs w:val="28"/>
          <w:lang w:val="en-US" w:eastAsia="zh-CN"/>
        </w:rPr>
        <w:t>1.</w:t>
      </w:r>
      <w:r>
        <w:rPr>
          <w:rFonts w:hint="eastAsia" w:eastAsia="仿宋_GB2312"/>
          <w:kern w:val="0"/>
          <w:sz w:val="28"/>
          <w:szCs w:val="28"/>
        </w:rPr>
        <w:t>“红色领航 助力发展”城市基层党建品牌创建经费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1.深入开展“红色领航 助力发展”城市基层党建品牌创建工作，开展城市基层党建品牌创建工作。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数量指标</w:t>
            </w:r>
          </w:p>
        </w:tc>
        <w:tc>
          <w:tcPr>
            <w:tcW w:w="1985"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加强全区区直机关城市基层党建品牌创建建设，增强区直机关的创造力、凝聚力和战斗力</w:t>
            </w:r>
          </w:p>
        </w:tc>
        <w:tc>
          <w:tcPr>
            <w:tcW w:w="3402"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加强全区区直机关城市基层党建品牌创建建设，增强区直机关的创造力、凝聚力和战斗力</w:t>
            </w:r>
          </w:p>
        </w:tc>
        <w:tc>
          <w:tcPr>
            <w:tcW w:w="1843" w:type="dxa"/>
            <w:shd w:val="clear" w:color="auto" w:fill="auto"/>
            <w:vAlign w:val="center"/>
          </w:tcPr>
          <w:p>
            <w:pPr>
              <w:widowControl/>
              <w:tabs>
                <w:tab w:val="left" w:pos="422"/>
              </w:tabs>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bidi="ar"/>
              </w:rPr>
              <w:tab/>
            </w:r>
            <w:r>
              <w:rPr>
                <w:rFonts w:hint="eastAsia" w:ascii="仿宋_GB2312" w:hAnsi="仿宋_GB2312" w:eastAsia="仿宋_GB2312" w:cs="仿宋_GB2312"/>
                <w:color w:val="000000"/>
                <w:kern w:val="0"/>
                <w:sz w:val="21"/>
                <w:szCs w:val="21"/>
                <w:lang w:bidi="ar"/>
              </w:rPr>
              <w:t>200个</w:t>
            </w:r>
          </w:p>
        </w:tc>
        <w:tc>
          <w:tcPr>
            <w:tcW w:w="2155" w:type="dxa"/>
            <w:shd w:val="clear" w:color="auto" w:fill="auto"/>
            <w:vAlign w:val="center"/>
          </w:tcPr>
          <w:p>
            <w:pPr>
              <w:widowControl/>
              <w:jc w:val="left"/>
              <w:textAlignment w:val="center"/>
              <w:rPr>
                <w:rFonts w:ascii="宋体" w:hAnsi="宋体" w:cs="宋体"/>
                <w:color w:val="000000"/>
                <w:sz w:val="22"/>
              </w:rPr>
            </w:pPr>
            <w:r>
              <w:rPr>
                <w:rStyle w:val="21"/>
                <w:rFonts w:hint="default"/>
                <w:lang w:bidi="ar"/>
              </w:rPr>
              <w:t>廊广办</w:t>
            </w:r>
            <w:r>
              <w:rPr>
                <w:rStyle w:val="22"/>
                <w:lang w:bidi="ar"/>
              </w:rPr>
              <w:t>[2021]23</w:t>
            </w:r>
            <w:r>
              <w:rPr>
                <w:rStyle w:val="21"/>
                <w:rFonts w:hint="default"/>
                <w:lang w:bidi="ar"/>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质量指标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全区机关单位城市基层党建品牌建设逐步完善</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基层组织活动室及党务干部配备不完善。</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逐步完善</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服务的完成度</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服务的完成度</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985" w:type="dxa"/>
            <w:shd w:val="clear" w:color="auto" w:fill="auto"/>
          </w:tcPr>
          <w:p>
            <w:pPr>
              <w:widowControl/>
              <w:jc w:val="left"/>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在预算资金内支出。　</w:t>
            </w:r>
          </w:p>
        </w:tc>
        <w:tc>
          <w:tcPr>
            <w:tcW w:w="3402" w:type="dxa"/>
            <w:shd w:val="clear" w:color="auto" w:fill="auto"/>
          </w:tcPr>
          <w:p>
            <w:pPr>
              <w:widowControl/>
              <w:jc w:val="left"/>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超出预算资金支出</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社会效益指标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提供服务次数</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提供服务次数</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≧10次</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服务对象满意度指标</w:t>
            </w:r>
          </w:p>
        </w:tc>
        <w:tc>
          <w:tcPr>
            <w:tcW w:w="1985"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服务对象满意度</w:t>
            </w:r>
          </w:p>
        </w:tc>
        <w:tc>
          <w:tcPr>
            <w:tcW w:w="3402"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服务对象满意度</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ind w:firstLine="945" w:firstLineChars="450"/>
        <w:jc w:val="left"/>
        <w:outlineLvl w:val="1"/>
        <w:rPr>
          <w:rFonts w:ascii="方正小标宋_GBK" w:eastAsia="方正小标宋_GBK" w:cs="Times New Roman"/>
          <w:sz w:val="32"/>
        </w:rPr>
      </w:pPr>
      <w:r>
        <w:t>[283001]</w:t>
      </w:r>
      <w:r>
        <w:rPr>
          <w:rFonts w:hint="eastAsia"/>
        </w:rPr>
        <w:t>中共廊坊市广阳区委区直机关工作委员会</w:t>
      </w:r>
      <w:r>
        <w:t xml:space="preserve">                                                                 单位：万元</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3"/>
            </w:pPr>
            <w:r>
              <w:t>政府采购项目来源</w:t>
            </w:r>
          </w:p>
        </w:tc>
        <w:tc>
          <w:tcPr>
            <w:tcW w:w="368" w:type="pct"/>
            <w:vMerge w:val="restart"/>
            <w:vAlign w:val="center"/>
          </w:tcPr>
          <w:p>
            <w:pPr>
              <w:pStyle w:val="13"/>
            </w:pPr>
            <w:r>
              <w:t>采购物品名称</w:t>
            </w:r>
          </w:p>
        </w:tc>
        <w:tc>
          <w:tcPr>
            <w:tcW w:w="368" w:type="pct"/>
            <w:vMerge w:val="restart"/>
            <w:vAlign w:val="center"/>
          </w:tcPr>
          <w:p>
            <w:pPr>
              <w:pStyle w:val="13"/>
            </w:pPr>
            <w:r>
              <w:t>政府采购目录序号</w:t>
            </w:r>
          </w:p>
        </w:tc>
        <w:tc>
          <w:tcPr>
            <w:tcW w:w="230" w:type="pct"/>
            <w:vMerge w:val="restart"/>
            <w:vAlign w:val="center"/>
          </w:tcPr>
          <w:p>
            <w:pPr>
              <w:pStyle w:val="13"/>
            </w:pPr>
            <w:r>
              <w:t>计量  单位</w:t>
            </w:r>
          </w:p>
        </w:tc>
        <w:tc>
          <w:tcPr>
            <w:tcW w:w="276" w:type="pct"/>
            <w:vMerge w:val="restart"/>
            <w:vAlign w:val="center"/>
          </w:tcPr>
          <w:p>
            <w:pPr>
              <w:pStyle w:val="13"/>
            </w:pPr>
            <w:r>
              <w:t>数量</w:t>
            </w:r>
          </w:p>
        </w:tc>
        <w:tc>
          <w:tcPr>
            <w:tcW w:w="276" w:type="pct"/>
            <w:vMerge w:val="restart"/>
            <w:vAlign w:val="center"/>
          </w:tcPr>
          <w:p>
            <w:pPr>
              <w:pStyle w:val="13"/>
            </w:pPr>
            <w:r>
              <w:t>单价</w:t>
            </w:r>
          </w:p>
        </w:tc>
        <w:tc>
          <w:tcPr>
            <w:tcW w:w="2503" w:type="pct"/>
            <w:gridSpan w:val="8"/>
            <w:vAlign w:val="center"/>
          </w:tcPr>
          <w:p>
            <w:pPr>
              <w:pStyle w:val="13"/>
            </w:pPr>
            <w:r>
              <w:t>政府采购金额（当年</w:t>
            </w:r>
            <w:r>
              <w:rPr>
                <w:rFonts w:hint="eastAsia"/>
                <w:lang w:eastAsia="zh-CN"/>
              </w:rPr>
              <w:t>单位</w:t>
            </w:r>
            <w:r>
              <w:t>预算安排资金）</w:t>
            </w:r>
          </w:p>
        </w:tc>
        <w:tc>
          <w:tcPr>
            <w:tcW w:w="309" w:type="pct"/>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3"/>
            </w:pPr>
            <w:r>
              <w:t>项目名称</w:t>
            </w:r>
          </w:p>
        </w:tc>
        <w:tc>
          <w:tcPr>
            <w:tcW w:w="313" w:type="pct"/>
            <w:vAlign w:val="center"/>
          </w:tcPr>
          <w:p>
            <w:pPr>
              <w:pStyle w:val="13"/>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3"/>
            </w:pPr>
            <w:r>
              <w:t>合计</w:t>
            </w:r>
          </w:p>
        </w:tc>
        <w:tc>
          <w:tcPr>
            <w:tcW w:w="313" w:type="pct"/>
            <w:vAlign w:val="center"/>
          </w:tcPr>
          <w:p>
            <w:pPr>
              <w:pStyle w:val="13"/>
            </w:pPr>
            <w:r>
              <w:t>一般公共预算拨款</w:t>
            </w:r>
          </w:p>
        </w:tc>
        <w:tc>
          <w:tcPr>
            <w:tcW w:w="313" w:type="pct"/>
            <w:vAlign w:val="center"/>
          </w:tcPr>
          <w:p>
            <w:pPr>
              <w:pStyle w:val="13"/>
            </w:pPr>
            <w:r>
              <w:t>基金预算拨款</w:t>
            </w:r>
          </w:p>
        </w:tc>
        <w:tc>
          <w:tcPr>
            <w:tcW w:w="313" w:type="pct"/>
            <w:vAlign w:val="center"/>
          </w:tcPr>
          <w:p>
            <w:pPr>
              <w:pStyle w:val="13"/>
            </w:pPr>
            <w:r>
              <w:t>国有资本经营预算拨款</w:t>
            </w:r>
          </w:p>
        </w:tc>
        <w:tc>
          <w:tcPr>
            <w:tcW w:w="313" w:type="pct"/>
            <w:vAlign w:val="center"/>
          </w:tcPr>
          <w:p>
            <w:pPr>
              <w:pStyle w:val="13"/>
            </w:pPr>
            <w:r>
              <w:t>财政专户核拨</w:t>
            </w:r>
          </w:p>
        </w:tc>
        <w:tc>
          <w:tcPr>
            <w:tcW w:w="313" w:type="pct"/>
            <w:vAlign w:val="center"/>
          </w:tcPr>
          <w:p>
            <w:pPr>
              <w:pStyle w:val="13"/>
            </w:pPr>
            <w:r>
              <w:t>单位    资金</w:t>
            </w:r>
          </w:p>
        </w:tc>
        <w:tc>
          <w:tcPr>
            <w:tcW w:w="313" w:type="pct"/>
            <w:vAlign w:val="center"/>
          </w:tcPr>
          <w:p>
            <w:pPr>
              <w:pStyle w:val="13"/>
            </w:pPr>
            <w:r>
              <w:t>财政拨    款结转</w:t>
            </w:r>
          </w:p>
        </w:tc>
        <w:tc>
          <w:tcPr>
            <w:tcW w:w="313" w:type="pct"/>
            <w:vAlign w:val="center"/>
          </w:tcPr>
          <w:p>
            <w:pPr>
              <w:pStyle w:val="13"/>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7"/>
            </w:pPr>
            <w:r>
              <w:t>合  计</w:t>
            </w:r>
          </w:p>
        </w:tc>
        <w:tc>
          <w:tcPr>
            <w:tcW w:w="313" w:type="pct"/>
            <w:vAlign w:val="center"/>
          </w:tcPr>
          <w:p>
            <w:pPr>
              <w:pStyle w:val="18"/>
            </w:pPr>
          </w:p>
        </w:tc>
        <w:tc>
          <w:tcPr>
            <w:tcW w:w="368" w:type="pct"/>
            <w:vAlign w:val="center"/>
          </w:tcPr>
          <w:p>
            <w:pPr>
              <w:pStyle w:val="19"/>
            </w:pPr>
          </w:p>
        </w:tc>
        <w:tc>
          <w:tcPr>
            <w:tcW w:w="368" w:type="pct"/>
            <w:vAlign w:val="center"/>
          </w:tcPr>
          <w:p>
            <w:pPr>
              <w:pStyle w:val="19"/>
            </w:pPr>
          </w:p>
        </w:tc>
        <w:tc>
          <w:tcPr>
            <w:tcW w:w="230" w:type="pct"/>
            <w:vAlign w:val="center"/>
          </w:tcPr>
          <w:p>
            <w:pPr>
              <w:pStyle w:val="17"/>
            </w:pPr>
          </w:p>
        </w:tc>
        <w:tc>
          <w:tcPr>
            <w:tcW w:w="276" w:type="pct"/>
            <w:vAlign w:val="center"/>
          </w:tcPr>
          <w:p>
            <w:pPr>
              <w:pStyle w:val="18"/>
            </w:pPr>
          </w:p>
        </w:tc>
        <w:tc>
          <w:tcPr>
            <w:tcW w:w="276"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09"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7"/>
            </w:pPr>
          </w:p>
        </w:tc>
        <w:tc>
          <w:tcPr>
            <w:tcW w:w="313" w:type="pct"/>
            <w:vAlign w:val="center"/>
          </w:tcPr>
          <w:p>
            <w:pPr>
              <w:pStyle w:val="18"/>
            </w:pPr>
          </w:p>
        </w:tc>
        <w:tc>
          <w:tcPr>
            <w:tcW w:w="368" w:type="pct"/>
            <w:vAlign w:val="center"/>
          </w:tcPr>
          <w:p>
            <w:pPr>
              <w:pStyle w:val="19"/>
            </w:pPr>
          </w:p>
        </w:tc>
        <w:tc>
          <w:tcPr>
            <w:tcW w:w="368" w:type="pct"/>
            <w:vAlign w:val="center"/>
          </w:tcPr>
          <w:p>
            <w:pPr>
              <w:pStyle w:val="19"/>
            </w:pPr>
          </w:p>
        </w:tc>
        <w:tc>
          <w:tcPr>
            <w:tcW w:w="230" w:type="pct"/>
            <w:vAlign w:val="center"/>
          </w:tcPr>
          <w:p>
            <w:pPr>
              <w:pStyle w:val="17"/>
            </w:pPr>
          </w:p>
        </w:tc>
        <w:tc>
          <w:tcPr>
            <w:tcW w:w="276" w:type="pct"/>
            <w:vAlign w:val="center"/>
          </w:tcPr>
          <w:p>
            <w:pPr>
              <w:pStyle w:val="18"/>
            </w:pPr>
          </w:p>
        </w:tc>
        <w:tc>
          <w:tcPr>
            <w:tcW w:w="276"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09"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5"/>
            </w:pPr>
          </w:p>
        </w:tc>
        <w:tc>
          <w:tcPr>
            <w:tcW w:w="313" w:type="pct"/>
            <w:vAlign w:val="center"/>
          </w:tcPr>
          <w:p>
            <w:pPr>
              <w:pStyle w:val="14"/>
            </w:pPr>
          </w:p>
        </w:tc>
        <w:tc>
          <w:tcPr>
            <w:tcW w:w="368" w:type="pct"/>
            <w:vAlign w:val="center"/>
          </w:tcPr>
          <w:p>
            <w:pPr>
              <w:pStyle w:val="15"/>
            </w:pPr>
          </w:p>
        </w:tc>
        <w:tc>
          <w:tcPr>
            <w:tcW w:w="368" w:type="pct"/>
            <w:vAlign w:val="center"/>
          </w:tcPr>
          <w:p>
            <w:pPr>
              <w:pStyle w:val="15"/>
            </w:pPr>
          </w:p>
        </w:tc>
        <w:tc>
          <w:tcPr>
            <w:tcW w:w="230" w:type="pct"/>
            <w:vAlign w:val="center"/>
          </w:tcPr>
          <w:p>
            <w:pPr>
              <w:pStyle w:val="16"/>
            </w:pPr>
          </w:p>
        </w:tc>
        <w:tc>
          <w:tcPr>
            <w:tcW w:w="276" w:type="pct"/>
            <w:vAlign w:val="center"/>
          </w:tcPr>
          <w:p>
            <w:pPr>
              <w:pStyle w:val="14"/>
            </w:pPr>
          </w:p>
        </w:tc>
        <w:tc>
          <w:tcPr>
            <w:tcW w:w="276"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09" w:type="pct"/>
            <w:vAlign w:val="center"/>
          </w:tcPr>
          <w:p>
            <w:pPr>
              <w:pStyle w:val="14"/>
            </w:pPr>
          </w:p>
        </w:tc>
      </w:tr>
    </w:tbl>
    <w:p>
      <w:pPr>
        <w:spacing w:line="500" w:lineRule="exact"/>
        <w:ind w:firstLine="420"/>
        <w:rPr>
          <w:rFonts w:ascii="Times New Roman" w:hAnsi="Times New Roman" w:eastAsia="仿宋_GB2312" w:cs="Times New Roman"/>
          <w:sz w:val="32"/>
          <w:szCs w:val="24"/>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pStyle w:val="2"/>
        <w:ind w:left="3360"/>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9.314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中共廊坊市广阳区委区直机关工作委员会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中共廊坊市广阳区委区直机关工作委员会</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9.314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6.214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8E082"/>
    <w:multiLevelType w:val="singleLevel"/>
    <w:tmpl w:val="C578E08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5A3B01"/>
    <w:rsid w:val="006967F5"/>
    <w:rsid w:val="007027E6"/>
    <w:rsid w:val="00944233"/>
    <w:rsid w:val="00A454E8"/>
    <w:rsid w:val="00A7493A"/>
    <w:rsid w:val="00B40732"/>
    <w:rsid w:val="00B80935"/>
    <w:rsid w:val="00C16788"/>
    <w:rsid w:val="00D347CC"/>
    <w:rsid w:val="00DC72B4"/>
    <w:rsid w:val="00DE00EE"/>
    <w:rsid w:val="01CD5014"/>
    <w:rsid w:val="09CE6AEC"/>
    <w:rsid w:val="0B19756C"/>
    <w:rsid w:val="0CEC1180"/>
    <w:rsid w:val="19AD5E08"/>
    <w:rsid w:val="6A5918C3"/>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character" w:customStyle="1" w:styleId="20">
    <w:name w:val="NormalCharacter"/>
    <w:semiHidden/>
    <w:qFormat/>
    <w:uiPriority w:val="0"/>
    <w:rPr>
      <w:rFonts w:ascii="Calibri" w:hAnsi="Calibri" w:eastAsia="宋体" w:cs="Arial"/>
      <w:kern w:val="2"/>
      <w:sz w:val="21"/>
      <w:szCs w:val="22"/>
      <w:lang w:val="en-US" w:eastAsia="zh-CN" w:bidi="ar-SA"/>
    </w:rPr>
  </w:style>
  <w:style w:type="character" w:customStyle="1" w:styleId="21">
    <w:name w:val="font21"/>
    <w:basedOn w:val="10"/>
    <w:qFormat/>
    <w:uiPriority w:val="0"/>
    <w:rPr>
      <w:rFonts w:hint="eastAsia" w:ascii="宋体" w:hAnsi="宋体" w:eastAsia="宋体" w:cs="宋体"/>
      <w:color w:val="000000"/>
      <w:sz w:val="22"/>
      <w:szCs w:val="22"/>
      <w:u w:val="none"/>
    </w:rPr>
  </w:style>
  <w:style w:type="character" w:customStyle="1" w:styleId="22">
    <w:name w:val="font31"/>
    <w:basedOn w:val="10"/>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734</Words>
  <Characters>4189</Characters>
  <Lines>34</Lines>
  <Paragraphs>9</Paragraphs>
  <TotalTime>0</TotalTime>
  <ScaleCrop>false</ScaleCrop>
  <LinksUpToDate>false</LinksUpToDate>
  <CharactersWithSpaces>4914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2023-08-02T01:04:31Z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09804070A873453D8D0A9ABD18E5DAF2</vt:lpwstr>
  </property>
</Properties>
</file>