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jc w:val="center"/>
        <w:rPr>
          <w:rFonts w:ascii="Times New Roman" w:hAnsi="Times New Roman" w:eastAsia="仿宋_GB2312" w:cs="Times New Roman"/>
          <w:sz w:val="44"/>
          <w:szCs w:val="44"/>
        </w:rPr>
      </w:pPr>
      <w:bookmarkStart w:id="3" w:name="_GoBack"/>
      <w:bookmarkEnd w:id="3"/>
    </w:p>
    <w:p>
      <w:pPr>
        <w:spacing w:line="584" w:lineRule="exact"/>
        <w:ind w:firstLine="880"/>
        <w:jc w:val="center"/>
        <w:rPr>
          <w:rFonts w:ascii="Times New Roman" w:hAnsi="Times New Roman" w:eastAsia="仿宋_GB2312" w:cs="Times New Roman"/>
          <w:sz w:val="44"/>
          <w:szCs w:val="44"/>
        </w:rPr>
      </w:pPr>
    </w:p>
    <w:p>
      <w:pPr>
        <w:spacing w:line="584" w:lineRule="exact"/>
        <w:ind w:firstLine="88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广阳区万庄镇倘户营小学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jc w:val="center"/>
        <w:rPr>
          <w:rFonts w:ascii="Times New Roman" w:hAnsi="Times New Roman" w:eastAsia="仿宋_GB2312" w:cs="Times New Roman"/>
          <w:sz w:val="44"/>
          <w:szCs w:val="44"/>
        </w:rPr>
      </w:pP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广阳区万庄镇倘户营小学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贯彻执行党和国家的教育方针、政策、法律法规，制定我校的长远规划和年度计划，并组织实施。</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负责教育基本信息的统计、分析。</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负责基础教育的管理。推进义务教育均衡发展和促进教育公平，全面实施素质教育。</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负责学校教师队伍的建设和管理，提高教师队伍素质。</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管理学校的党建、思想政治、宣传统战和维护稳定以及德育、体育、卫生防疫与艺术教育、国防教育工作；负责学校的安全监督管理。</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负责做好学校的招生、考试工作；负责管理本校教师学历教育及考试工作。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负责组织开展学校教育的督导评估、检查验收、质量监测等工作。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负责学校党的政治建设、思想建设、组织建设、作风建设、纪律建设和制度建设。</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负责学校安全稳定工作。</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spacing w:line="584" w:lineRule="exact"/>
        <w:ind w:firstLine="63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Layout w:type="autofit"/>
        <w:tblCellMar>
          <w:top w:w="0" w:type="dxa"/>
          <w:left w:w="10" w:type="dxa"/>
          <w:bottom w:w="0" w:type="dxa"/>
          <w:right w:w="10" w:type="dxa"/>
        </w:tblCellMar>
      </w:tblPr>
      <w:tblGrid>
        <w:gridCol w:w="4443"/>
        <w:gridCol w:w="1134"/>
        <w:gridCol w:w="1276"/>
        <w:gridCol w:w="2902"/>
      </w:tblGrid>
      <w:tr>
        <w:tblPrEx>
          <w:tblCellMar>
            <w:top w:w="0" w:type="dxa"/>
            <w:left w:w="10" w:type="dxa"/>
            <w:bottom w:w="0" w:type="dxa"/>
            <w:right w:w="10" w:type="dxa"/>
          </w:tblCellMar>
        </w:tblPrEx>
        <w:trPr>
          <w:trHeight w:val="584"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CellMar>
            <w:top w:w="0" w:type="dxa"/>
            <w:left w:w="10" w:type="dxa"/>
            <w:bottom w:w="0" w:type="dxa"/>
            <w:right w:w="10" w:type="dxa"/>
          </w:tblCellMar>
        </w:tblPrEx>
        <w:trPr>
          <w:trHeight w:val="584" w:hRule="atLeast"/>
          <w:tblHeader/>
          <w:jc w:val="center"/>
        </w:trPr>
        <w:tc>
          <w:tcPr>
            <w:tcW w:w="4443"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1276"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c>
          <w:tcPr>
            <w:tcW w:w="290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tc>
      </w:tr>
      <w:tr>
        <w:tblPrEx>
          <w:tblCellMar>
            <w:top w:w="0" w:type="dxa"/>
            <w:left w:w="10" w:type="dxa"/>
            <w:bottom w:w="0" w:type="dxa"/>
            <w:right w:w="10"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廊坊市广阳区万庄镇倘户营小学</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广阳区万庄镇倘户营小学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广阳区广阳区万庄镇</w:t>
      </w:r>
      <w:r>
        <w:rPr>
          <w:rFonts w:hint="eastAsia" w:ascii="Times New Roman" w:hAnsi="Times New Roman" w:eastAsia="仿宋_GB2312" w:cs="Times New Roman"/>
          <w:sz w:val="32"/>
          <w:szCs w:val="32"/>
          <w:lang w:eastAsia="zh-CN"/>
        </w:rPr>
        <w:t>倘户</w:t>
      </w:r>
      <w:r>
        <w:rPr>
          <w:rFonts w:hint="eastAsia" w:ascii="Times New Roman" w:hAnsi="Times New Roman" w:eastAsia="仿宋_GB2312" w:cs="Times New Roman"/>
          <w:sz w:val="32"/>
          <w:szCs w:val="32"/>
        </w:rPr>
        <w:t>营小学2022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val="en-US" w:eastAsia="zh-CN"/>
        </w:rPr>
        <w:t>0万元，包括</w:t>
      </w:r>
      <w:r>
        <w:rPr>
          <w:rFonts w:ascii="Times New Roman" w:hAnsi="Times New Roman" w:eastAsia="仿宋_GB2312" w:cs="Times New Roman"/>
          <w:sz w:val="32"/>
          <w:szCs w:val="32"/>
        </w:rPr>
        <w:t>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屋顶彩钢防水和更换门窗、幼儿园阳光棚、吊顶</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hint="eastAsia" w:ascii="Times New Roman" w:hAnsi="Times New Roman" w:eastAsia="仿宋_GB2312" w:cs="Times New Roman"/>
          <w:sz w:val="32"/>
          <w:szCs w:val="32"/>
        </w:rPr>
      </w:pPr>
      <w:r>
        <w:rPr>
          <w:rFonts w:ascii="Times New Roman" w:hAnsi="Times New Roman" w:eastAsia="黑体" w:cs="Times New Roman"/>
          <w:sz w:val="32"/>
          <w:szCs w:val="32"/>
        </w:rPr>
        <w:t>20</w:t>
      </w:r>
      <w:r>
        <w:rPr>
          <w:rFonts w:hint="eastAsia" w:ascii="Times New Roman" w:hAnsi="Times New Roman" w:eastAsia="黑体" w:cs="Times New Roman"/>
          <w:sz w:val="32"/>
          <w:szCs w:val="32"/>
        </w:rPr>
        <w:t>2</w:t>
      </w:r>
      <w:r>
        <w:rPr>
          <w:rFonts w:ascii="Times New Roman" w:hAnsi="Times New Roman" w:eastAsia="黑体" w:cs="Times New Roman"/>
          <w:sz w:val="32"/>
          <w:szCs w:val="32"/>
        </w:rPr>
        <w:t>2年，我局财政拨款“三公”经费预算安排</w:t>
      </w:r>
      <w:r>
        <w:rPr>
          <w:rFonts w:hint="eastAsia" w:ascii="Times New Roman" w:hAnsi="Times New Roman" w:eastAsia="黑体" w:cs="Times New Roman"/>
          <w:sz w:val="32"/>
          <w:szCs w:val="32"/>
        </w:rPr>
        <w:t>0</w:t>
      </w:r>
      <w:r>
        <w:rPr>
          <w:rFonts w:ascii="Times New Roman" w:hAnsi="Times New Roman" w:eastAsia="黑体" w:cs="Times New Roman"/>
          <w:sz w:val="32"/>
          <w:szCs w:val="32"/>
        </w:rPr>
        <w:t>万元</w:t>
      </w:r>
      <w:r>
        <w:rPr>
          <w:rFonts w:hint="eastAsia" w:ascii="Times New Roman" w:hAnsi="Times New Roman" w:eastAsia="黑体" w:cs="Times New Roman"/>
          <w:sz w:val="32"/>
          <w:szCs w:val="32"/>
        </w:rPr>
        <w:t>。</w:t>
      </w:r>
      <w:r>
        <w:rPr>
          <w:rFonts w:ascii="Times New Roman" w:hAnsi="Times New Roman" w:eastAsia="黑体" w:cs="Times New Roman"/>
          <w:sz w:val="32"/>
          <w:szCs w:val="32"/>
        </w:rPr>
        <w:t>其中</w:t>
      </w:r>
      <w:r>
        <w:rPr>
          <w:rFonts w:hint="eastAsia" w:ascii="Times New Roman" w:hAnsi="Times New Roman" w:eastAsia="黑体" w:cs="Times New Roman"/>
          <w:sz w:val="32"/>
          <w:szCs w:val="32"/>
        </w:rPr>
        <w:t>，</w:t>
      </w:r>
      <w:r>
        <w:rPr>
          <w:rFonts w:ascii="Times New Roman" w:hAnsi="Times New Roman" w:eastAsia="黑体" w:cs="Times New Roman"/>
          <w:sz w:val="32"/>
          <w:szCs w:val="32"/>
        </w:rPr>
        <w:t>因公出国（境）费</w:t>
      </w:r>
      <w:r>
        <w:rPr>
          <w:rFonts w:hint="eastAsia" w:ascii="Times New Roman" w:hAnsi="Times New Roman" w:eastAsia="黑体" w:cs="Times New Roman"/>
          <w:sz w:val="32"/>
          <w:szCs w:val="32"/>
        </w:rPr>
        <w:t>0</w:t>
      </w:r>
      <w:r>
        <w:rPr>
          <w:rFonts w:ascii="Times New Roman" w:hAnsi="Times New Roman" w:eastAsia="黑体" w:cs="Times New Roman"/>
          <w:sz w:val="32"/>
          <w:szCs w:val="32"/>
        </w:rPr>
        <w:t>万元；公务用</w:t>
      </w:r>
      <w:r>
        <w:rPr>
          <w:rFonts w:ascii="Times New Roman" w:hAnsi="Times New Roman" w:eastAsia="仿宋_GB2312" w:cs="Times New Roman"/>
          <w:sz w:val="32"/>
          <w:szCs w:val="32"/>
        </w:rPr>
        <w:t>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left="0" w:firstLine="643" w:firstLineChars="200"/>
        <w:textAlignment w:val="auto"/>
        <w:rPr>
          <w:rFonts w:ascii="楷体_GB2312" w:hAnsi="楷体_GB2312" w:eastAsia="楷体_GB2312" w:cs="Times New Roman"/>
          <w:b/>
          <w:sz w:val="32"/>
          <w:szCs w:val="32"/>
        </w:rPr>
      </w:pPr>
      <w:r>
        <w:rPr>
          <w:rFonts w:hint="eastAsia" w:ascii="楷体_GB2312" w:hAns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keepNext w:val="0"/>
        <w:keepLines w:val="0"/>
        <w:pageBreakBefore w:val="0"/>
        <w:widowControl w:val="0"/>
        <w:kinsoku/>
        <w:wordWrap/>
        <w:overflowPunct/>
        <w:topLinePunct w:val="0"/>
        <w:autoSpaceDE/>
        <w:autoSpaceDN/>
        <w:bidi w:val="0"/>
        <w:adjustRightInd/>
        <w:snapToGrid/>
        <w:spacing w:line="584"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rPr>
          <w:rFonts w:ascii="楷体_GB2312" w:hAnsi="楷体_GB2312" w:eastAsia="楷体_GB2312" w:cs="Times New Roman"/>
          <w:b/>
          <w:sz w:val="32"/>
          <w:szCs w:val="32"/>
        </w:rPr>
      </w:pPr>
      <w:r>
        <w:rPr>
          <w:rFonts w:hint="eastAsia" w:ascii="楷体_GB2312" w:hAns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hint="eastAsia" w:ascii="Times New Roman" w:hAnsi="Times New Roman" w:eastAsia="仿宋_GB2312" w:cs="Times New Roman"/>
          <w:sz w:val="32"/>
          <w:szCs w:val="32"/>
        </w:rPr>
      </w:pPr>
    </w:p>
    <w:p>
      <w:pPr>
        <w:spacing w:line="584" w:lineRule="exact"/>
        <w:ind w:firstLine="643"/>
        <w:rPr>
          <w:rFonts w:ascii="楷体_GB2312" w:hAnsi="楷体_GB2312" w:eastAsia="楷体_GB2312" w:cs="Times New Roman"/>
          <w:b/>
          <w:sz w:val="32"/>
          <w:szCs w:val="32"/>
        </w:rPr>
      </w:pPr>
      <w:r>
        <w:rPr>
          <w:rFonts w:hint="eastAsia" w:ascii="楷体_GB2312" w:hAns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1、成立学校监督小组，监督学校工作，强化工作落实。</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val="0"/>
        <w:kinsoku/>
        <w:wordWrap/>
        <w:overflowPunct/>
        <w:topLinePunct w:val="0"/>
        <w:autoSpaceDE/>
        <w:autoSpaceDN/>
        <w:bidi w:val="0"/>
        <w:adjustRightInd/>
        <w:snapToGrid/>
        <w:spacing w:line="584"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spacing w:line="584" w:lineRule="exact"/>
        <w:ind w:firstLine="640"/>
        <w:rPr>
          <w:rFonts w:hint="eastAsia" w:ascii="仿宋_GB2312" w:hAnsi="仿宋_GB2312" w:eastAsia="仿宋_GB2312" w:cs="Times New Roman"/>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hint="eastAsia" w:ascii="楷体_GB2312" w:hAnsi="楷体_GB2312" w:eastAsia="楷体_GB2312" w:cs="Times New Roman"/>
          <w:b/>
          <w:sz w:val="32"/>
          <w:szCs w:val="32"/>
        </w:rPr>
      </w:pPr>
    </w:p>
    <w:p>
      <w:pPr>
        <w:spacing w:after="156" w:line="580" w:lineRule="exact"/>
        <w:ind w:firstLine="630"/>
        <w:jc w:val="left"/>
        <w:rPr>
          <w:rFonts w:ascii="楷体_GB2312" w:hAnsi="楷体_GB2312" w:eastAsia="楷体_GB2312" w:cs="Times New Roman"/>
          <w:b/>
          <w:sz w:val="32"/>
          <w:szCs w:val="32"/>
        </w:rPr>
      </w:pPr>
      <w:r>
        <w:rPr>
          <w:rFonts w:hint="eastAsia" w:ascii="楷体_GB2312" w:hAnsi="楷体_GB2312" w:eastAsia="楷体_GB2312" w:cs="Times New Roman"/>
          <w:b/>
          <w:sz w:val="32"/>
          <w:szCs w:val="32"/>
        </w:rPr>
        <w:t>（四）</w:t>
      </w:r>
      <w:r>
        <w:rPr>
          <w:rFonts w:hint="eastAsia" w:ascii="楷体_GB2312" w:hAnsi="楷体_GB2312" w:eastAsia="楷体_GB2312" w:cs="Times New Roman"/>
          <w:b/>
          <w:sz w:val="32"/>
          <w:szCs w:val="32"/>
          <w:lang w:eastAsia="zh-CN"/>
        </w:rPr>
        <w:t>单位</w:t>
      </w:r>
      <w:r>
        <w:rPr>
          <w:rFonts w:hint="eastAsia" w:ascii="楷体_GB2312" w:hAnsi="楷体_GB2312" w:eastAsia="楷体_GB2312" w:cs="Times New Roman"/>
          <w:b/>
          <w:sz w:val="32"/>
          <w:szCs w:val="32"/>
        </w:rPr>
        <w:t>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hAnsi="仿宋_GB2312" w:eastAsia="仿宋_GB2312" w:cs="Times New Roman"/>
          <w:sz w:val="32"/>
          <w:szCs w:val="32"/>
        </w:rPr>
      </w:pPr>
    </w:p>
    <w:p>
      <w:pPr>
        <w:spacing w:line="584" w:lineRule="exact"/>
        <w:ind w:firstLine="64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8"/>
      <w:r>
        <w:rPr>
          <w:rFonts w:hint="eastAsia" w:ascii="仿宋_GB2312" w:hAnsi="仿宋_GB2312" w:eastAsia="仿宋_GB2312" w:cs="仿宋_GB2312"/>
          <w:color w:val="000000"/>
          <w:sz w:val="28"/>
          <w:lang w:val="en-US" w:eastAsia="zh-CN"/>
        </w:rPr>
        <w:t>1</w:t>
      </w:r>
      <w:r>
        <w:rPr>
          <w:rFonts w:hint="eastAsia" w:ascii="仿宋_GB2312" w:hAnsi="仿宋_GB2312" w:eastAsia="仿宋_GB2312" w:cs="仿宋_GB2312"/>
          <w:color w:val="000000"/>
          <w:sz w:val="28"/>
        </w:rPr>
        <w:t>.校园平房防水、更换门窗资金绩效目标表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619"/>
        <w:gridCol w:w="3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3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保证房屋不漏水能正常使用</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22间房屋需要做防水和更换门窗</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22间</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廊坊市广阳区教育和体育局关于拨付2021年学校校园平房防水、更换门窗资金（[2021]86号）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46.8万元</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6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3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jc w:val="left"/>
        <w:outlineLvl w:val="1"/>
        <w:rPr>
          <w:rFonts w:ascii="Times New Roman" w:hAnsi="Times New Roman" w:eastAsia="仿宋_GB2312" w:cs="Times New Roman"/>
          <w:sz w:val="28"/>
        </w:rPr>
      </w:pPr>
    </w:p>
    <w:p>
      <w:pPr>
        <w:ind w:firstLine="560"/>
        <w:jc w:val="left"/>
        <w:outlineLvl w:val="1"/>
        <w:rPr>
          <w:rFonts w:ascii="Times New Roman" w:hAnsi="Times New Roman" w:eastAsia="仿宋_GB2312" w:cs="Times New Roman"/>
          <w:sz w:val="28"/>
        </w:rPr>
      </w:pPr>
    </w:p>
    <w:p>
      <w:pPr>
        <w:ind w:firstLine="56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highlight w:val="none"/>
          <w:lang w:val="en-US" w:eastAsia="zh-CN"/>
        </w:rPr>
        <w:t>2.</w:t>
      </w:r>
      <w:r>
        <w:rPr>
          <w:rFonts w:hint="eastAsia" w:ascii="仿宋_GB2312" w:hAnsi="仿宋_GB2312" w:eastAsia="仿宋_GB2312" w:cs="仿宋_GB2312"/>
          <w:sz w:val="28"/>
          <w:highlight w:val="none"/>
        </w:rPr>
        <w:t>城乡义务教育生均公用经费[区级]</w:t>
      </w:r>
    </w:p>
    <w:tbl>
      <w:tblPr>
        <w:tblStyle w:val="8"/>
        <w:tblW w:w="14062" w:type="dxa"/>
        <w:jc w:val="center"/>
        <w:tblLayout w:type="autofit"/>
        <w:tblCellMar>
          <w:top w:w="0" w:type="dxa"/>
          <w:left w:w="10" w:type="dxa"/>
          <w:bottom w:w="0" w:type="dxa"/>
          <w:right w:w="10" w:type="dxa"/>
        </w:tblCellMar>
      </w:tblPr>
      <w:tblGrid>
        <w:gridCol w:w="922"/>
        <w:gridCol w:w="1400"/>
        <w:gridCol w:w="2280"/>
        <w:gridCol w:w="4040"/>
        <w:gridCol w:w="860"/>
        <w:gridCol w:w="4560"/>
      </w:tblGrid>
      <w:tr>
        <w:tblPrEx>
          <w:tblCellMar>
            <w:top w:w="0" w:type="dxa"/>
            <w:left w:w="10" w:type="dxa"/>
            <w:bottom w:w="0" w:type="dxa"/>
            <w:right w:w="10" w:type="dxa"/>
          </w:tblCellMar>
        </w:tblPrEx>
        <w:trPr>
          <w:cantSplit/>
          <w:trHeight w:val="397" w:hRule="atLeast"/>
          <w:tblHeader/>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140"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1.广阳区万庄镇倘户营小学对2022年在校学生266人，按照义务教育生均公用经费标准申请财政预算资金，通过合理、合规使用资金达到学校正常运转。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3.促进城乡义务教育发展</w:t>
            </w:r>
          </w:p>
        </w:tc>
      </w:tr>
      <w:tr>
        <w:tblPrEx>
          <w:tblCellMar>
            <w:top w:w="0" w:type="dxa"/>
            <w:left w:w="10" w:type="dxa"/>
            <w:bottom w:w="0" w:type="dxa"/>
            <w:right w:w="10" w:type="dxa"/>
          </w:tblCellMar>
        </w:tblPrEx>
        <w:trPr>
          <w:cantSplit/>
          <w:trHeight w:val="397" w:hRule="atLeast"/>
          <w:tblHeader/>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jc w:val="center"/>
        </w:trPr>
        <w:tc>
          <w:tcPr>
            <w:tcW w:w="92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申请生均公用经费的学生人数</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按文件要求申请生均公用经费的学生人数</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266人</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关于印发教育领域省市、县财政事权和支出责任划分改革实施方案的通知（冀财教[2019]66号）</w:t>
            </w:r>
          </w:p>
        </w:tc>
      </w:tr>
      <w:tr>
        <w:tblPrEx>
          <w:tblCellMar>
            <w:top w:w="0" w:type="dxa"/>
            <w:left w:w="10" w:type="dxa"/>
            <w:bottom w:w="0" w:type="dxa"/>
            <w:right w:w="10" w:type="dxa"/>
          </w:tblCellMar>
        </w:tblPrEx>
        <w:trPr>
          <w:cantSplit/>
          <w:trHeight w:val="369" w:hRule="atLeast"/>
          <w:jc w:val="center"/>
        </w:trPr>
        <w:tc>
          <w:tcPr>
            <w:tcW w:w="9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生均公用经费使用的合规率</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生均公用经费使用符合文件中的相关规定</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关于印发教育领域省市、县财政事权和支出责任划分改革实施方案的通知（冀财教[2019]66号）</w:t>
            </w:r>
          </w:p>
        </w:tc>
      </w:tr>
      <w:tr>
        <w:tblPrEx>
          <w:tblCellMar>
            <w:top w:w="0" w:type="dxa"/>
            <w:left w:w="10" w:type="dxa"/>
            <w:bottom w:w="0" w:type="dxa"/>
            <w:right w:w="10" w:type="dxa"/>
          </w:tblCellMar>
        </w:tblPrEx>
        <w:trPr>
          <w:cantSplit/>
          <w:trHeight w:val="369" w:hRule="atLeast"/>
          <w:jc w:val="center"/>
        </w:trPr>
        <w:tc>
          <w:tcPr>
            <w:tcW w:w="9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用于保障学校正常运转项目完成及时率</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使用生均公用经费，用于保障学校正常运转的项目完成情况</w:t>
            </w:r>
            <w:r>
              <w:rPr>
                <w:rFonts w:hint="eastAsia" w:ascii="仿宋_GB2312" w:hAnsi="仿宋_GB2312" w:eastAsia="仿宋_GB2312" w:cs="仿宋_GB2312"/>
              </w:rPr>
              <w:tab/>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按进度及时完成</w:t>
            </w:r>
          </w:p>
        </w:tc>
      </w:tr>
      <w:tr>
        <w:tblPrEx>
          <w:tblCellMar>
            <w:top w:w="0" w:type="dxa"/>
            <w:left w:w="10" w:type="dxa"/>
            <w:bottom w:w="0" w:type="dxa"/>
            <w:right w:w="10" w:type="dxa"/>
          </w:tblCellMar>
        </w:tblPrEx>
        <w:trPr>
          <w:cantSplit/>
          <w:trHeight w:val="369" w:hRule="atLeast"/>
          <w:jc w:val="center"/>
        </w:trPr>
        <w:tc>
          <w:tcPr>
            <w:tcW w:w="9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使用生均公用经费，用于保障学校正常运转的项目支出成本等于735元/生</w:t>
            </w:r>
            <w:r>
              <w:rPr>
                <w:rFonts w:hint="eastAsia" w:ascii="仿宋_GB2312" w:hAnsi="仿宋_GB2312" w:eastAsia="仿宋_GB2312" w:cs="仿宋_GB2312"/>
              </w:rPr>
              <w:tab/>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735元/生</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关于印发教育领域省市、县财政事权和支出责任划分改革实施方案的通知（冀财教[2019]66号）</w:t>
            </w:r>
          </w:p>
        </w:tc>
      </w:tr>
      <w:tr>
        <w:tblPrEx>
          <w:tblCellMar>
            <w:top w:w="0" w:type="dxa"/>
            <w:left w:w="10" w:type="dxa"/>
            <w:bottom w:w="0" w:type="dxa"/>
            <w:right w:w="10" w:type="dxa"/>
          </w:tblCellMar>
        </w:tblPrEx>
        <w:trPr>
          <w:cantSplit/>
          <w:trHeight w:val="369" w:hRule="atLeast"/>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义务教育/学前教育高质量发展</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该资金用于学校正常运转，改善办学条件，促进义务教育均衡发展及学生素质提高</w:t>
            </w:r>
            <w:r>
              <w:rPr>
                <w:rFonts w:hint="eastAsia" w:ascii="仿宋_GB2312" w:hAnsi="仿宋_GB2312" w:eastAsia="仿宋_GB2312" w:cs="仿宋_GB2312"/>
              </w:rPr>
              <w:tab/>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支持</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冀财教【2019】66号文件</w:t>
            </w:r>
          </w:p>
        </w:tc>
      </w:tr>
      <w:tr>
        <w:tblPrEx>
          <w:tblCellMar>
            <w:top w:w="0" w:type="dxa"/>
            <w:left w:w="10" w:type="dxa"/>
            <w:bottom w:w="0" w:type="dxa"/>
            <w:right w:w="10" w:type="dxa"/>
          </w:tblCellMar>
        </w:tblPrEx>
        <w:trPr>
          <w:cantSplit/>
          <w:trHeight w:val="369" w:hRule="atLeast"/>
          <w:jc w:val="center"/>
        </w:trPr>
        <w:tc>
          <w:tcPr>
            <w:tcW w:w="9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2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4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≥90%</w:t>
            </w:r>
          </w:p>
        </w:tc>
        <w:tc>
          <w:tcPr>
            <w:tcW w:w="45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lang w:val="en-US" w:eastAsia="zh-CN"/>
        </w:rPr>
      </w:pPr>
      <w:r>
        <w:rPr>
          <w:rFonts w:hint="eastAsia" w:ascii="仿宋_GB2312" w:hAnsi="仿宋_GB2312" w:eastAsia="仿宋_GB2312" w:cs="仿宋_GB2312"/>
          <w:sz w:val="28"/>
          <w:highlight w:val="none"/>
          <w:lang w:val="en-US" w:eastAsia="zh-CN"/>
        </w:rPr>
        <w:t>3.</w:t>
      </w:r>
      <w:r>
        <w:rPr>
          <w:rFonts w:hint="eastAsia" w:ascii="仿宋_GB2312" w:hAnsi="仿宋_GB2312" w:eastAsia="仿宋_GB2312" w:cs="仿宋_GB2312"/>
          <w:sz w:val="28"/>
          <w:highlight w:val="none"/>
        </w:rPr>
        <w:t>城乡义务教育生均公用经费[市级</w:t>
      </w:r>
      <w:r>
        <w:rPr>
          <w:rFonts w:hint="eastAsia" w:ascii="仿宋_GB2312" w:hAnsi="仿宋_GB2312" w:eastAsia="仿宋_GB2312" w:cs="仿宋_GB2312"/>
          <w:sz w:val="28"/>
          <w:highlight w:val="none"/>
          <w:lang w:val="en-US" w:eastAsia="zh-CN"/>
        </w:rPr>
        <w:t>]</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790"/>
        <w:gridCol w:w="1320"/>
        <w:gridCol w:w="1720"/>
        <w:gridCol w:w="3300"/>
        <w:gridCol w:w="1000"/>
        <w:gridCol w:w="5932"/>
      </w:tblGrid>
      <w:tr>
        <w:tblPrEx>
          <w:tblCellMar>
            <w:top w:w="0" w:type="dxa"/>
            <w:left w:w="10" w:type="dxa"/>
            <w:bottom w:w="0" w:type="dxa"/>
            <w:right w:w="10" w:type="dxa"/>
          </w:tblCellMar>
        </w:tblPrEx>
        <w:trPr>
          <w:cantSplit/>
          <w:trHeight w:val="397" w:hRule="atLeast"/>
          <w:tblHeader/>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272"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rPr>
                <w:rFonts w:hint="eastAsia" w:ascii="仿宋_GB2312" w:hAnsi="仿宋_GB2312" w:eastAsia="仿宋_GB2312" w:cs="仿宋_GB2312"/>
                <w:b/>
              </w:rPr>
            </w:pPr>
            <w:r>
              <w:rPr>
                <w:rFonts w:hint="eastAsia" w:ascii="仿宋_GB2312" w:hAnsi="仿宋_GB2312" w:eastAsia="仿宋_GB2312" w:cs="仿宋_GB2312"/>
              </w:rPr>
              <w:t>1.倘户营学校对2022年在校学生266人，按照义务教育生均公用经费标准申请财政预算资金，通过合理、合规使用资金达到保证学校正常运转，改善办学条件，促进义务教育发展。</w:t>
            </w:r>
          </w:p>
        </w:tc>
      </w:tr>
      <w:tr>
        <w:tblPrEx>
          <w:tblCellMar>
            <w:top w:w="0" w:type="dxa"/>
            <w:left w:w="10" w:type="dxa"/>
            <w:bottom w:w="0" w:type="dxa"/>
            <w:right w:w="10" w:type="dxa"/>
          </w:tblCellMar>
        </w:tblPrEx>
        <w:trPr>
          <w:cantSplit/>
          <w:trHeight w:val="397" w:hRule="atLeast"/>
          <w:tblHeader/>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trPr>
        <w:tc>
          <w:tcPr>
            <w:tcW w:w="79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申请生均公用经费的学生人数</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按文件要求申请生均公用经费的学生人数</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266元</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CellMar>
            <w:top w:w="0" w:type="dxa"/>
            <w:left w:w="10" w:type="dxa"/>
            <w:bottom w:w="0" w:type="dxa"/>
            <w:right w:w="10" w:type="dxa"/>
          </w:tblCellMar>
        </w:tblPrEx>
        <w:trPr>
          <w:cantSplit/>
          <w:trHeight w:val="369" w:hRule="atLeast"/>
        </w:trPr>
        <w:tc>
          <w:tcPr>
            <w:tcW w:w="7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生均公用经费使用的合规率</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生均公用经费使用符合文件中的相关规定</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CellMar>
            <w:top w:w="0" w:type="dxa"/>
            <w:left w:w="10" w:type="dxa"/>
            <w:bottom w:w="0" w:type="dxa"/>
            <w:right w:w="10" w:type="dxa"/>
          </w:tblCellMar>
        </w:tblPrEx>
        <w:trPr>
          <w:cantSplit/>
          <w:trHeight w:val="845" w:hRule="atLeast"/>
        </w:trPr>
        <w:tc>
          <w:tcPr>
            <w:tcW w:w="7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用于保障学校正常运转项目完成及时率</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使用生均公用经费，用于保障学校正常运转的项目完成情况</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按进度及时完成</w:t>
            </w:r>
          </w:p>
        </w:tc>
      </w:tr>
      <w:tr>
        <w:tblPrEx>
          <w:tblCellMar>
            <w:top w:w="0" w:type="dxa"/>
            <w:left w:w="10" w:type="dxa"/>
            <w:bottom w:w="0" w:type="dxa"/>
            <w:right w:w="10" w:type="dxa"/>
          </w:tblCellMar>
        </w:tblPrEx>
        <w:trPr>
          <w:cantSplit/>
          <w:trHeight w:val="369" w:hRule="atLeast"/>
        </w:trPr>
        <w:tc>
          <w:tcPr>
            <w:tcW w:w="7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使用生均公用经费，用于保障学校正常运转的项目支出成本等于735元/生</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735元</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关于印发教育领域省与市(冀财教[2019]66号</w:t>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廊坊市财政局廊坊市教育局关于提前下达2022年城乡义务教育市级补助经费预算的资金的通知（廊财教[2021]50号）。</w:t>
            </w:r>
          </w:p>
        </w:tc>
      </w:tr>
      <w:tr>
        <w:tblPrEx>
          <w:tblCellMar>
            <w:top w:w="0" w:type="dxa"/>
            <w:left w:w="10" w:type="dxa"/>
            <w:bottom w:w="0" w:type="dxa"/>
            <w:right w:w="10" w:type="dxa"/>
          </w:tblCellMar>
        </w:tblPrEx>
        <w:trPr>
          <w:cantSplit/>
          <w:trHeight w:val="369" w:hRule="atLeast"/>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义务教育/学前教育高质量发展</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该资金用于学校正常运转，改善办学条件，促进义务教育/学吃前教育均衡发展及学生素质提高</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支持</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廊财教[2021]50号文件</w:t>
            </w:r>
          </w:p>
        </w:tc>
      </w:tr>
      <w:tr>
        <w:tblPrEx>
          <w:tblCellMar>
            <w:top w:w="0" w:type="dxa"/>
            <w:left w:w="10" w:type="dxa"/>
            <w:bottom w:w="0" w:type="dxa"/>
            <w:right w:w="10" w:type="dxa"/>
          </w:tblCellMar>
        </w:tblPrEx>
        <w:trPr>
          <w:cantSplit/>
          <w:trHeight w:val="369" w:hRule="atLeast"/>
        </w:trPr>
        <w:tc>
          <w:tcPr>
            <w:tcW w:w="7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3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≥90%</w:t>
            </w:r>
          </w:p>
        </w:tc>
        <w:tc>
          <w:tcPr>
            <w:tcW w:w="59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widowControl w:val="0"/>
        <w:numPr>
          <w:ilvl w:val="0"/>
          <w:numId w:val="0"/>
        </w:numPr>
        <w:jc w:val="left"/>
        <w:outlineLvl w:val="1"/>
        <w:rPr>
          <w:rFonts w:hint="eastAsia" w:ascii="仿宋_GB2312" w:hAnsi="仿宋_GB2312" w:eastAsia="仿宋_GB2312" w:cs="仿宋_GB2312"/>
          <w:lang w:val="en-US" w:eastAsia="zh-CN"/>
        </w:rPr>
      </w:pPr>
    </w:p>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p>
      <w:pPr>
        <w:ind w:firstLine="560"/>
        <w:jc w:val="left"/>
        <w:outlineLvl w:val="1"/>
        <w:rPr>
          <w:rFonts w:hint="eastAsia" w:ascii="仿宋_GB2312" w:hAnsi="仿宋_GB2312" w:eastAsia="仿宋_GB2312" w:cs="仿宋_GB2312"/>
          <w:sz w:val="28"/>
        </w:rPr>
      </w:pPr>
    </w:p>
    <w:p>
      <w:pPr>
        <w:ind w:firstLine="560"/>
        <w:jc w:val="left"/>
        <w:outlineLvl w:val="1"/>
        <w:rPr>
          <w:rFonts w:hint="eastAsia"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4.</w:t>
      </w:r>
      <w:r>
        <w:rPr>
          <w:rFonts w:hint="eastAsia" w:ascii="仿宋_GB2312" w:hAnsi="仿宋_GB2312" w:eastAsia="仿宋_GB2312" w:cs="仿宋_GB2312"/>
          <w:sz w:val="28"/>
          <w:highlight w:val="none"/>
        </w:rPr>
        <w:t>合同制教师人员经费</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2409"/>
        <w:gridCol w:w="2268"/>
        <w:gridCol w:w="1985"/>
        <w:gridCol w:w="3402"/>
        <w:gridCol w:w="1843"/>
        <w:gridCol w:w="2155"/>
      </w:tblGrid>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7"/>
              <w:ind w:left="0" w:leftChars="0" w:firstLine="0" w:firstLineChars="0"/>
              <w:rPr>
                <w:rFonts w:hint="eastAsia" w:ascii="仿宋_GB2312" w:hAnsi="仿宋_GB2312" w:eastAsia="仿宋_GB2312" w:cs="仿宋_GB2312"/>
                <w:b/>
              </w:rPr>
            </w:pPr>
            <w:r>
              <w:rPr>
                <w:rFonts w:hint="eastAsia" w:ascii="仿宋_GB2312" w:hAnsi="仿宋_GB2312" w:eastAsia="仿宋_GB2312" w:cs="仿宋_GB2312"/>
              </w:rPr>
              <w:t>4.学生、学校、家长对合同制教师的满意度达到95%以上</w:t>
            </w:r>
          </w:p>
        </w:tc>
      </w:tr>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trPr>
        <w:tc>
          <w:tcPr>
            <w:tcW w:w="240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2人工资福利</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CellMar>
            <w:top w:w="0" w:type="dxa"/>
            <w:left w:w="10" w:type="dxa"/>
            <w:bottom w:w="0" w:type="dxa"/>
            <w:right w:w="10" w:type="dxa"/>
          </w:tblCellMar>
        </w:tblPrEx>
        <w:trPr>
          <w:cantSplit/>
          <w:trHeight w:val="369" w:hRule="atLeast"/>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缓解师资供需矛盾</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缓解教师短缺，保障教育教学正常的进行</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缓解</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r>
        <w:tblPrEx>
          <w:tblCellMar>
            <w:top w:w="0" w:type="dxa"/>
            <w:left w:w="10" w:type="dxa"/>
            <w:bottom w:w="0" w:type="dxa"/>
            <w:right w:w="10" w:type="dxa"/>
          </w:tblCellMar>
        </w:tblPrEx>
        <w:trPr>
          <w:cantSplit/>
          <w:trHeight w:val="369" w:hRule="atLeast"/>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学校满意度</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在校教师满意度</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5.</w:t>
      </w:r>
      <w:r>
        <w:rPr>
          <w:rFonts w:hint="eastAsia" w:ascii="仿宋_GB2312" w:hAnsi="仿宋_GB2312" w:eastAsia="仿宋_GB2312" w:cs="仿宋_GB2312"/>
          <w:sz w:val="28"/>
          <w:highlight w:val="none"/>
        </w:rPr>
        <w:t>教育经费</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2409"/>
        <w:gridCol w:w="2268"/>
        <w:gridCol w:w="1985"/>
        <w:gridCol w:w="3402"/>
        <w:gridCol w:w="1843"/>
        <w:gridCol w:w="2155"/>
      </w:tblGrid>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4.开展教师培训，提高教师队伍水平。</w:t>
            </w:r>
          </w:p>
        </w:tc>
      </w:tr>
      <w:tr>
        <w:tblPrEx>
          <w:tblCellMar>
            <w:top w:w="0" w:type="dxa"/>
            <w:left w:w="10" w:type="dxa"/>
            <w:bottom w:w="0" w:type="dxa"/>
            <w:right w:w="10" w:type="dxa"/>
          </w:tblCellMar>
        </w:tblPrEx>
        <w:trPr>
          <w:cantSplit/>
          <w:trHeight w:val="397" w:hRule="atLeast"/>
          <w:tblHeader/>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97" w:hRule="atLeast"/>
          <w:tblHeader/>
        </w:trPr>
        <w:tc>
          <w:tcPr>
            <w:tcW w:w="240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保12个月教学正常运转</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保障教学正常运转时长</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12月</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实际教学</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物资采购合格率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保障日常教学器材及物资充裕</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物资质量评价标准</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上级下达学校的各项工作任务完成率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保证完成上级下达学校的各项工作任务</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年初工作计划</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用于保障学校正常运转项目完成及时率</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及时提供的教学用品、保障教学设施、设备正常运行</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年初工作计划</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经费支出成本</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经费各项支出不高于项目资金总额</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≤4.26万元</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资金分配表</w:t>
            </w:r>
          </w:p>
        </w:tc>
      </w:tr>
      <w:tr>
        <w:tblPrEx>
          <w:tblCellMar>
            <w:top w:w="0" w:type="dxa"/>
            <w:left w:w="10" w:type="dxa"/>
            <w:bottom w:w="0" w:type="dxa"/>
            <w:right w:w="10" w:type="dxa"/>
          </w:tblCellMar>
        </w:tblPrEx>
        <w:trPr>
          <w:cantSplit/>
          <w:trHeight w:val="369" w:hRule="atLeast"/>
        </w:trPr>
        <w:tc>
          <w:tcPr>
            <w:tcW w:w="24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义务教育高质量发展</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推动义务教育从数量扩张向质量提高转变</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提高</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CellMar>
            <w:top w:w="0" w:type="dxa"/>
            <w:left w:w="10" w:type="dxa"/>
            <w:bottom w:w="0" w:type="dxa"/>
            <w:right w:w="10" w:type="dxa"/>
          </w:tblCellMar>
        </w:tblPrEx>
        <w:trPr>
          <w:cantSplit/>
          <w:trHeight w:val="369" w:hRule="atLeast"/>
        </w:trPr>
        <w:tc>
          <w:tcPr>
            <w:tcW w:w="240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r>
        <w:tblPrEx>
          <w:tblCellMar>
            <w:top w:w="0" w:type="dxa"/>
            <w:left w:w="10" w:type="dxa"/>
            <w:bottom w:w="0" w:type="dxa"/>
            <w:right w:w="10" w:type="dxa"/>
          </w:tblCellMar>
        </w:tblPrEx>
        <w:trPr>
          <w:cantSplit/>
          <w:trHeight w:val="369" w:hRule="atLeast"/>
        </w:trPr>
        <w:tc>
          <w:tcPr>
            <w:tcW w:w="240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家长的满意程度</w:t>
            </w:r>
          </w:p>
        </w:tc>
        <w:tc>
          <w:tcPr>
            <w:tcW w:w="34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家长的满意程度</w:t>
            </w:r>
          </w:p>
        </w:tc>
        <w:tc>
          <w:tcPr>
            <w:tcW w:w="1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≥95%</w:t>
            </w:r>
          </w:p>
        </w:tc>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jc w:val="left"/>
        <w:outlineLvl w:val="1"/>
        <w:rPr>
          <w:rFonts w:hint="eastAsia" w:ascii="仿宋_GB2312" w:hAnsi="仿宋_GB2312" w:eastAsia="仿宋_GB2312" w:cs="仿宋_GB2312"/>
          <w:sz w:val="28"/>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p>
    <w:p>
      <w:pPr>
        <w:ind w:firstLine="560"/>
        <w:jc w:val="left"/>
        <w:outlineLvl w:val="1"/>
        <w:rPr>
          <w:rFonts w:hint="eastAsia"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6.</w:t>
      </w:r>
      <w:r>
        <w:rPr>
          <w:rFonts w:hint="eastAsia" w:ascii="仿宋_GB2312" w:hAnsi="仿宋_GB2312" w:eastAsia="仿宋_GB2312" w:cs="仿宋_GB2312"/>
          <w:sz w:val="28"/>
          <w:highlight w:val="none"/>
        </w:rPr>
        <w:t>幼儿园生均经费</w:t>
      </w:r>
    </w:p>
    <w:tbl>
      <w:tblPr>
        <w:tblStyle w:val="8"/>
        <w:tblpPr w:leftFromText="180" w:rightFromText="180" w:vertAnchor="text" w:horzAnchor="page" w:tblpX="1508" w:tblpY="4"/>
        <w:tblOverlap w:val="never"/>
        <w:tblW w:w="14062" w:type="dxa"/>
        <w:tblInd w:w="0" w:type="dxa"/>
        <w:tblLayout w:type="autofit"/>
        <w:tblCellMar>
          <w:top w:w="0" w:type="dxa"/>
          <w:left w:w="10" w:type="dxa"/>
          <w:bottom w:w="0" w:type="dxa"/>
          <w:right w:w="10" w:type="dxa"/>
        </w:tblCellMar>
      </w:tblPr>
      <w:tblGrid>
        <w:gridCol w:w="1371"/>
        <w:gridCol w:w="1280"/>
        <w:gridCol w:w="2120"/>
        <w:gridCol w:w="2880"/>
        <w:gridCol w:w="1460"/>
        <w:gridCol w:w="4951"/>
      </w:tblGrid>
      <w:tr>
        <w:tblPrEx>
          <w:tblCellMar>
            <w:top w:w="0" w:type="dxa"/>
            <w:left w:w="10" w:type="dxa"/>
            <w:bottom w:w="0" w:type="dxa"/>
            <w:right w:w="10" w:type="dxa"/>
          </w:tblCellMar>
        </w:tblPrEx>
        <w:trPr>
          <w:cantSplit/>
          <w:trHeight w:val="397" w:hRule="atLeast"/>
          <w:tblHeader/>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91"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rPr>
                <w:rFonts w:hint="eastAsia" w:ascii="仿宋_GB2312" w:hAnsi="仿宋_GB2312" w:eastAsia="仿宋_GB2312" w:cs="仿宋_GB2312"/>
                <w:b/>
              </w:rPr>
            </w:pPr>
            <w:r>
              <w:rPr>
                <w:rFonts w:hint="eastAsia" w:ascii="仿宋_GB2312" w:hAnsi="仿宋_GB2312" w:eastAsia="仿宋_GB2312" w:cs="仿宋_GB2312"/>
              </w:rPr>
              <w:t>1.保障幼儿园运转，改善基本办园条件，促进教育均衡发展及幼儿素质提高。倘户营幼儿园对2022年在园幼儿107人，按照幼儿园生均公用经费标准申请财政预算资金，通过合理、合规使用资金达到保证幼儿园正常运转，改善办园条件，促进义务教育发展。</w:t>
            </w:r>
          </w:p>
        </w:tc>
      </w:tr>
      <w:tr>
        <w:tblPrEx>
          <w:tblCellMar>
            <w:top w:w="0" w:type="dxa"/>
            <w:left w:w="10" w:type="dxa"/>
            <w:bottom w:w="0" w:type="dxa"/>
            <w:right w:w="10" w:type="dxa"/>
          </w:tblCellMar>
        </w:tblPrEx>
        <w:trPr>
          <w:cantSplit/>
          <w:trHeight w:val="397" w:hRule="atLeast"/>
          <w:tblHeader/>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CellMar>
            <w:top w:w="0" w:type="dxa"/>
            <w:left w:w="10" w:type="dxa"/>
            <w:bottom w:w="0" w:type="dxa"/>
            <w:right w:w="10" w:type="dxa"/>
          </w:tblCellMar>
        </w:tblPrEx>
        <w:trPr>
          <w:cantSplit/>
          <w:trHeight w:val="369" w:hRule="atLeast"/>
        </w:trPr>
        <w:tc>
          <w:tcPr>
            <w:tcW w:w="137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数量指标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申请生均公用经费幼儿人数</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按文件要求申请生均公用经费的学生人数</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107人</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p>
            <w:pPr>
              <w:pStyle w:val="14"/>
              <w:rPr>
                <w:rFonts w:hint="eastAsia" w:ascii="仿宋_GB2312" w:hAnsi="仿宋_GB2312" w:eastAsia="仿宋_GB2312" w:cs="仿宋_GB2312"/>
                <w:kern w:val="1"/>
                <w:sz w:val="21"/>
                <w:szCs w:val="24"/>
                <w:lang w:val="en-US" w:eastAsia="zh-CN" w:bidi="ar-SA"/>
              </w:rPr>
            </w:pPr>
          </w:p>
        </w:tc>
      </w:tr>
      <w:tr>
        <w:tblPrEx>
          <w:tblCellMar>
            <w:top w:w="0" w:type="dxa"/>
            <w:left w:w="10" w:type="dxa"/>
            <w:bottom w:w="0" w:type="dxa"/>
            <w:right w:w="10" w:type="dxa"/>
          </w:tblCellMar>
        </w:tblPrEx>
        <w:trPr>
          <w:cantSplit/>
          <w:trHeight w:val="369" w:hRule="atLeast"/>
        </w:trPr>
        <w:tc>
          <w:tcPr>
            <w:tcW w:w="137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质量指标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生均公用经费使用的合规率</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生均公用经费使用符合文件中的相关规定</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CellMar>
            <w:top w:w="0" w:type="dxa"/>
            <w:left w:w="10" w:type="dxa"/>
            <w:bottom w:w="0" w:type="dxa"/>
            <w:right w:w="10" w:type="dxa"/>
          </w:tblCellMar>
        </w:tblPrEx>
        <w:trPr>
          <w:cantSplit/>
          <w:trHeight w:val="369" w:hRule="atLeast"/>
        </w:trPr>
        <w:tc>
          <w:tcPr>
            <w:tcW w:w="137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时效指标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用于保障幼儿园正常运转项目完成及时率</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使用生均公用经费，用于保障学校正常运转的项目完成情况</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100%</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按进度及时完成</w:t>
            </w:r>
          </w:p>
        </w:tc>
      </w:tr>
      <w:tr>
        <w:tblPrEx>
          <w:tblCellMar>
            <w:top w:w="0" w:type="dxa"/>
            <w:left w:w="10" w:type="dxa"/>
            <w:bottom w:w="0" w:type="dxa"/>
            <w:right w:w="10" w:type="dxa"/>
          </w:tblCellMar>
        </w:tblPrEx>
        <w:trPr>
          <w:cantSplit/>
          <w:trHeight w:val="369" w:hRule="atLeast"/>
        </w:trPr>
        <w:tc>
          <w:tcPr>
            <w:tcW w:w="137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仿宋_GB2312" w:hAnsi="仿宋_GB2312" w:eastAsia="仿宋_GB2312" w:cs="仿宋_GB2312"/>
              </w:rPr>
            </w:pP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成本指标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使用生均公用经费，用于保障幼儿园正常运转的项目支出成本</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使用生均公用经费，用于保障学校正常运转的项目支出成本等于400元/生</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400元</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CellMar>
            <w:top w:w="0" w:type="dxa"/>
            <w:left w:w="10" w:type="dxa"/>
            <w:bottom w:w="0" w:type="dxa"/>
            <w:right w:w="10" w:type="dxa"/>
          </w:tblCellMar>
        </w:tblPrEx>
        <w:trPr>
          <w:cantSplit/>
          <w:trHeight w:val="369" w:hRule="atLeast"/>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社会效益指标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学前教育高质量发展</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该资金用于学校正常运转，改善办学条件，促进学前教育均衡发展及学生素质提高</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支持</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冀财教【2018】99号文件</w:t>
            </w:r>
          </w:p>
        </w:tc>
      </w:tr>
      <w:tr>
        <w:tblPrEx>
          <w:tblCellMar>
            <w:top w:w="0" w:type="dxa"/>
            <w:left w:w="10" w:type="dxa"/>
            <w:bottom w:w="0" w:type="dxa"/>
            <w:right w:w="10" w:type="dxa"/>
          </w:tblCellMar>
        </w:tblPrEx>
        <w:trPr>
          <w:cantSplit/>
          <w:trHeight w:val="369" w:hRule="atLeast"/>
        </w:trPr>
        <w:tc>
          <w:tcPr>
            <w:tcW w:w="13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服务对象满意度指标</w:t>
            </w:r>
          </w:p>
        </w:tc>
        <w:tc>
          <w:tcPr>
            <w:tcW w:w="21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28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在校师生的满意程度</w:t>
            </w:r>
          </w:p>
        </w:tc>
        <w:tc>
          <w:tcPr>
            <w:tcW w:w="14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≥90%</w:t>
            </w:r>
          </w:p>
        </w:tc>
        <w:tc>
          <w:tcPr>
            <w:tcW w:w="4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4"/>
              <w:rPr>
                <w:rFonts w:hint="eastAsia" w:ascii="仿宋_GB2312" w:hAnsi="仿宋_GB2312" w:eastAsia="仿宋_GB2312" w:cs="仿宋_GB2312"/>
                <w:kern w:val="1"/>
                <w:sz w:val="21"/>
                <w:szCs w:val="24"/>
                <w:lang w:val="en-US" w:eastAsia="zh-CN" w:bidi="ar-SA"/>
              </w:rPr>
            </w:pPr>
            <w:r>
              <w:rPr>
                <w:rFonts w:hint="eastAsia" w:ascii="仿宋_GB2312" w:hAnsi="仿宋_GB2312" w:eastAsia="仿宋_GB2312" w:cs="仿宋_GB2312"/>
              </w:rPr>
              <w:t>调查问卷</w:t>
            </w:r>
          </w:p>
        </w:tc>
      </w:tr>
    </w:tbl>
    <w:p>
      <w:pPr>
        <w:spacing w:line="584" w:lineRule="exact"/>
        <w:jc w:val="left"/>
        <w:rPr>
          <w:rFonts w:ascii="Times New Roman" w:hAnsi="Times New Roman" w:eastAsia="黑体" w:cs="Times New Roman"/>
          <w:sz w:val="32"/>
          <w:szCs w:val="32"/>
        </w:rPr>
      </w:pPr>
    </w:p>
    <w:p>
      <w:pPr>
        <w:spacing w:line="584" w:lineRule="exact"/>
        <w:jc w:val="left"/>
        <w:rPr>
          <w:rFonts w:ascii="Times New Roman" w:hAnsi="Times New Roman" w:eastAsia="黑体" w:cs="Times New Roman"/>
          <w:sz w:val="32"/>
          <w:szCs w:val="32"/>
        </w:rPr>
      </w:pPr>
    </w:p>
    <w:p>
      <w:pPr>
        <w:spacing w:line="584" w:lineRule="exact"/>
        <w:jc w:val="left"/>
        <w:rPr>
          <w:rFonts w:ascii="Times New Roman" w:hAnsi="Times New Roman" w:eastAsia="黑体" w:cs="Times New Roman"/>
          <w:sz w:val="32"/>
          <w:szCs w:val="32"/>
        </w:rPr>
      </w:pPr>
    </w:p>
    <w:p>
      <w:pPr>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outlineLvl w:val="0"/>
        <w:rPr>
          <w:rFonts w:ascii="Times New Roman" w:hAnsi="Times New Roman" w:eastAsia="仿宋_GB2312" w:cs="Times New Roman"/>
          <w:sz w:val="32"/>
          <w:szCs w:val="24"/>
          <w:highlight w:val="none"/>
        </w:rPr>
      </w:pPr>
      <w:bookmarkStart w:id="1" w:name="_Toc471398468"/>
      <w:bookmarkEnd w:id="1"/>
      <w:r>
        <w:rPr>
          <w:rFonts w:ascii="Times New Roman" w:hAnsi="Times New Roman" w:eastAsia="仿宋_GB2312" w:cs="Times New Roman"/>
          <w:sz w:val="32"/>
          <w:szCs w:val="24"/>
          <w:highlight w:val="none"/>
        </w:rPr>
        <w:t>20</w:t>
      </w:r>
      <w:r>
        <w:rPr>
          <w:rFonts w:hint="eastAsia" w:ascii="Times New Roman" w:hAnsi="Times New Roman" w:eastAsia="仿宋_GB2312" w:cs="Times New Roman"/>
          <w:sz w:val="32"/>
          <w:szCs w:val="24"/>
          <w:highlight w:val="none"/>
        </w:rPr>
        <w:t>2</w:t>
      </w:r>
      <w:r>
        <w:rPr>
          <w:rFonts w:ascii="Times New Roman" w:hAnsi="Times New Roman" w:eastAsia="仿宋_GB2312" w:cs="Times New Roman"/>
          <w:sz w:val="32"/>
          <w:szCs w:val="24"/>
          <w:highlight w:val="none"/>
        </w:rPr>
        <w:t>2年，我</w:t>
      </w:r>
      <w:r>
        <w:rPr>
          <w:rFonts w:hint="eastAsia" w:ascii="Times New Roman" w:hAnsi="Times New Roman" w:eastAsia="仿宋_GB2312" w:cs="Times New Roman"/>
          <w:sz w:val="32"/>
          <w:szCs w:val="24"/>
          <w:highlight w:val="none"/>
          <w:lang w:eastAsia="zh-CN"/>
        </w:rPr>
        <w:t>单位</w:t>
      </w:r>
      <w:r>
        <w:rPr>
          <w:rFonts w:ascii="Times New Roman" w:hAnsi="Times New Roman" w:eastAsia="仿宋_GB2312" w:cs="Times New Roman"/>
          <w:sz w:val="32"/>
          <w:szCs w:val="24"/>
          <w:highlight w:val="none"/>
        </w:rPr>
        <w:t>安排政府采购预算</w:t>
      </w:r>
      <w:r>
        <w:rPr>
          <w:rFonts w:hint="eastAsia" w:ascii="Times New Roman" w:hAnsi="Times New Roman" w:eastAsia="仿宋_GB2312" w:cs="Times New Roman"/>
          <w:sz w:val="32"/>
          <w:szCs w:val="24"/>
          <w:highlight w:val="none"/>
          <w:lang w:val="en-US" w:eastAsia="zh-CN"/>
        </w:rPr>
        <w:t>97.73</w:t>
      </w:r>
      <w:r>
        <w:rPr>
          <w:rFonts w:ascii="Times New Roman" w:hAnsi="Times New Roman" w:eastAsia="仿宋_GB2312" w:cs="Times New Roman"/>
          <w:sz w:val="32"/>
          <w:szCs w:val="24"/>
          <w:highlight w:val="none"/>
        </w:rPr>
        <w:t>万元。具体内容见下表。</w:t>
      </w:r>
    </w:p>
    <w:p>
      <w:pPr>
        <w:jc w:val="center"/>
        <w:outlineLvl w:val="1"/>
        <w:rPr>
          <w:rFonts w:ascii="方正小标宋_GBK" w:hAnsi="方正小标宋_GBK" w:eastAsia="方正小标宋_GBK" w:cs="Times New Roman"/>
          <w:sz w:val="32"/>
          <w:highlight w:val="none"/>
        </w:rPr>
      </w:pPr>
      <w:bookmarkStart w:id="2" w:name="_Toc64920910"/>
      <w:bookmarkEnd w:id="2"/>
      <w:r>
        <w:rPr>
          <w:rFonts w:hint="eastAsia" w:ascii="方正小标宋_GBK" w:hAnsi="方正小标宋_GBK" w:eastAsia="方正小标宋_GBK" w:cs="Times New Roman"/>
          <w:sz w:val="32"/>
          <w:highlight w:val="none"/>
          <w:lang w:eastAsia="zh-CN"/>
        </w:rPr>
        <w:t>单位</w:t>
      </w:r>
      <w:r>
        <w:rPr>
          <w:rFonts w:hint="eastAsia" w:ascii="方正小标宋_GBK" w:hAnsi="方正小标宋_GBK" w:eastAsia="方正小标宋_GBK" w:cs="Times New Roman"/>
          <w:sz w:val="32"/>
          <w:highlight w:val="none"/>
        </w:rPr>
        <w:t>政府采购预算</w:t>
      </w:r>
    </w:p>
    <w:p>
      <w:pPr>
        <w:outlineLvl w:val="1"/>
        <w:rPr>
          <w:rFonts w:ascii="方正小标宋_GBK" w:hAnsi="方正小标宋_GBK" w:eastAsia="方正小标宋_GBK" w:cs="Times New Roman"/>
          <w:sz w:val="32"/>
          <w:highlight w:val="none"/>
        </w:rPr>
      </w:pPr>
      <w:r>
        <w:rPr>
          <w:highlight w:val="none"/>
        </w:rPr>
        <w:t>河北省廊坊市广阳区万庄镇倘户营小学                                                                单位：万元</w:t>
      </w:r>
    </w:p>
    <w:tbl>
      <w:tblPr>
        <w:tblStyle w:val="8"/>
        <w:tblW w:w="4998" w:type="pct"/>
        <w:jc w:val="center"/>
        <w:tblLayout w:type="autofit"/>
        <w:tblCellMar>
          <w:top w:w="0" w:type="dxa"/>
          <w:left w:w="10" w:type="dxa"/>
          <w:bottom w:w="0" w:type="dxa"/>
          <w:right w:w="10" w:type="dxa"/>
        </w:tblCellMar>
      </w:tblPr>
      <w:tblGrid>
        <w:gridCol w:w="995"/>
        <w:gridCol w:w="876"/>
        <w:gridCol w:w="1029"/>
        <w:gridCol w:w="1029"/>
        <w:gridCol w:w="638"/>
        <w:gridCol w:w="924"/>
        <w:gridCol w:w="795"/>
        <w:gridCol w:w="873"/>
        <w:gridCol w:w="874"/>
        <w:gridCol w:w="874"/>
        <w:gridCol w:w="874"/>
        <w:gridCol w:w="874"/>
        <w:gridCol w:w="874"/>
        <w:gridCol w:w="874"/>
        <w:gridCol w:w="891"/>
        <w:gridCol w:w="874"/>
      </w:tblGrid>
      <w:tr>
        <w:tblPrEx>
          <w:tblCellMar>
            <w:top w:w="0" w:type="dxa"/>
            <w:left w:w="10" w:type="dxa"/>
            <w:bottom w:w="0" w:type="dxa"/>
            <w:right w:w="10" w:type="dxa"/>
          </w:tblCellMar>
        </w:tblPrEx>
        <w:trPr>
          <w:cantSplit/>
          <w:trHeight w:val="0" w:hRule="atLeast"/>
          <w:tblHeader/>
          <w:jc w:val="center"/>
        </w:trPr>
        <w:tc>
          <w:tcPr>
            <w:tcW w:w="668" w:type="pct"/>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政府采购项目来源</w:t>
            </w:r>
          </w:p>
        </w:tc>
        <w:tc>
          <w:tcPr>
            <w:tcW w:w="367"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采购物品名称</w:t>
            </w:r>
          </w:p>
        </w:tc>
        <w:tc>
          <w:tcPr>
            <w:tcW w:w="367"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政府采购目录序号</w:t>
            </w:r>
          </w:p>
        </w:tc>
        <w:tc>
          <w:tcPr>
            <w:tcW w:w="229"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计量  单位</w:t>
            </w:r>
          </w:p>
        </w:tc>
        <w:tc>
          <w:tcPr>
            <w:tcW w:w="275"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数量</w:t>
            </w:r>
          </w:p>
        </w:tc>
        <w:tc>
          <w:tcPr>
            <w:tcW w:w="275"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单价</w:t>
            </w:r>
          </w:p>
        </w:tc>
        <w:tc>
          <w:tcPr>
            <w:tcW w:w="2502" w:type="pct"/>
            <w:gridSpan w:val="8"/>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政府采购金额（当年</w:t>
            </w:r>
            <w:r>
              <w:rPr>
                <w:rFonts w:hint="eastAsia"/>
                <w:highlight w:val="none"/>
                <w:lang w:eastAsia="zh-CN"/>
              </w:rPr>
              <w:t>单位</w:t>
            </w:r>
            <w:r>
              <w:rPr>
                <w:highlight w:val="none"/>
              </w:rPr>
              <w:t>预算安排资金）</w:t>
            </w:r>
          </w:p>
        </w:tc>
        <w:tc>
          <w:tcPr>
            <w:tcW w:w="312" w:type="pct"/>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2022年  预留中  小微企  业份额</w:t>
            </w:r>
          </w:p>
        </w:tc>
      </w:tr>
      <w:tr>
        <w:tblPrEx>
          <w:tblCellMar>
            <w:top w:w="0" w:type="dxa"/>
            <w:left w:w="10" w:type="dxa"/>
            <w:bottom w:w="0" w:type="dxa"/>
            <w:right w:w="10" w:type="dxa"/>
          </w:tblCellMar>
        </w:tblPrEx>
        <w:trPr>
          <w:cantSplit/>
          <w:trHeight w:val="0" w:hRule="atLeast"/>
          <w:tblHeader/>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项目名称</w:t>
            </w: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预算    资金</w:t>
            </w:r>
          </w:p>
        </w:tc>
        <w:tc>
          <w:tcPr>
            <w:tcW w:w="367"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367"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229"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275"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275"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合计</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一般公共预算拨款</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基金预算拨款</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国有资本经营预算拨款</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财政专户核拨</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单位    资金</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财政拨    款结转</w:t>
            </w: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5"/>
              <w:rPr>
                <w:highlight w:val="none"/>
              </w:rPr>
            </w:pPr>
            <w:r>
              <w:rPr>
                <w:highlight w:val="none"/>
              </w:rPr>
              <w:t>非财政    拨款结    转结余</w:t>
            </w:r>
          </w:p>
        </w:tc>
        <w:tc>
          <w:tcPr>
            <w:tcW w:w="312" w:type="pct"/>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rPr>
                <w:highlight w:val="none"/>
              </w:rPr>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highlight w:val="none"/>
              </w:rPr>
            </w:pPr>
            <w:r>
              <w:rPr>
                <w:highlight w:val="none"/>
              </w:rPr>
              <w:t>合  计</w:t>
            </w: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rFonts w:hint="eastAsia" w:eastAsia="方正书宋_GBK"/>
                <w:highlight w:val="none"/>
                <w:lang w:val="en-US" w:eastAsia="zh-CN"/>
              </w:rPr>
            </w:pPr>
            <w:r>
              <w:rPr>
                <w:rFonts w:hint="eastAsia"/>
                <w:highlight w:val="none"/>
                <w:lang w:val="en-US" w:eastAsia="zh-CN"/>
              </w:rPr>
              <w:t>校园房顶彩钢和更换门窗</w:t>
            </w: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highlight w:val="none"/>
              </w:rPr>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rFonts w:hint="eastAsia" w:eastAsia="方正书宋_GBK"/>
                <w:highlight w:val="none"/>
                <w:lang w:val="en-US" w:eastAsia="zh-CN"/>
              </w:rPr>
            </w:pPr>
            <w:r>
              <w:rPr>
                <w:rFonts w:hint="eastAsia"/>
                <w:highlight w:val="none"/>
                <w:lang w:val="en-US" w:eastAsia="zh-CN"/>
              </w:rPr>
              <w:t>平米</w:t>
            </w: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1198.7</w:t>
            </w: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rFonts w:hint="default" w:eastAsia="方正书宋_GBK"/>
                <w:highlight w:val="none"/>
                <w:lang w:val="en-US" w:eastAsia="zh-CN"/>
              </w:rPr>
            </w:pPr>
            <w:r>
              <w:rPr>
                <w:rFonts w:hint="eastAsia"/>
                <w:highlight w:val="none"/>
                <w:lang w:val="en-US" w:eastAsia="zh-CN"/>
              </w:rPr>
              <w:t>97.73</w:t>
            </w: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r>
      <w:tr>
        <w:tblPrEx>
          <w:tblCellMar>
            <w:top w:w="0" w:type="dxa"/>
            <w:left w:w="10" w:type="dxa"/>
            <w:bottom w:w="0" w:type="dxa"/>
            <w:right w:w="10" w:type="dxa"/>
          </w:tblCellMar>
        </w:tblPrEx>
        <w:trPr>
          <w:cantSplit/>
          <w:trHeight w:val="9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highlight w:val="none"/>
              </w:rPr>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highlight w:val="none"/>
              </w:rPr>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8"/>
              <w:rPr>
                <w:highlight w:val="none"/>
              </w:rPr>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6"/>
              <w:rPr>
                <w:highlight w:val="none"/>
              </w:rPr>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7"/>
              <w:rPr>
                <w:highlight w:val="none"/>
              </w:rPr>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5"/>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5"/>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r>
      <w:tr>
        <w:tblPrEx>
          <w:tblCellMar>
            <w:top w:w="0" w:type="dxa"/>
            <w:left w:w="10" w:type="dxa"/>
            <w:bottom w:w="0" w:type="dxa"/>
            <w:right w:w="10" w:type="dxa"/>
          </w:tblCellMar>
        </w:tblPrEx>
        <w:trPr>
          <w:cantSplit/>
          <w:trHeight w:val="0" w:hRule="atLeast"/>
          <w:jc w:val="center"/>
        </w:trPr>
        <w:tc>
          <w:tcPr>
            <w:tcW w:w="35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3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7"/>
            </w:pPr>
          </w:p>
        </w:tc>
        <w:tc>
          <w:tcPr>
            <w:tcW w:w="22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5"/>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27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c>
          <w:tcPr>
            <w:tcW w:w="3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13"/>
            </w:pPr>
          </w:p>
        </w:tc>
      </w:tr>
    </w:tbl>
    <w:p>
      <w:pPr>
        <w:spacing w:line="500" w:lineRule="exact"/>
        <w:ind w:firstLine="420"/>
        <w:rPr>
          <w:rFonts w:ascii="方正仿宋_GBK" w:hAnsi="方正仿宋_GBK" w:eastAsia="方正仿宋_GBK" w:cs="方正仿宋_GBK"/>
        </w:rPr>
      </w:pPr>
      <w:r>
        <w:rPr>
          <w:rFonts w:ascii="方正仿宋_GBK" w:hAnsi="方正仿宋_GBK" w:eastAsia="方正仿宋_GBK" w:cs="方正仿宋_GBK"/>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rPr>
        <w:t>广阳区</w:t>
      </w:r>
      <w:r>
        <w:rPr>
          <w:rFonts w:hint="eastAsia" w:ascii="Times New Roman" w:hAnsi="Times New Roman" w:eastAsia="仿宋_GB2312" w:cs="Times New Roman"/>
          <w:sz w:val="32"/>
          <w:szCs w:val="32"/>
          <w:highlight w:val="none"/>
          <w:lang w:eastAsia="zh-CN"/>
        </w:rPr>
        <w:t>万庄镇倘户营小学</w:t>
      </w:r>
      <w:r>
        <w:rPr>
          <w:rFonts w:ascii="Times New Roman" w:hAnsi="Times New Roman" w:eastAsia="仿宋_GB2312" w:cs="Times New Roman"/>
          <w:sz w:val="32"/>
          <w:szCs w:val="32"/>
          <w:highlight w:val="none"/>
        </w:rPr>
        <w:t>（含所属单位）上年末固定资产金额为</w:t>
      </w:r>
      <w:r>
        <w:rPr>
          <w:rFonts w:hint="eastAsia" w:ascii="Times New Roman" w:hAnsi="Times New Roman" w:eastAsia="仿宋_GB2312" w:cs="Times New Roman"/>
          <w:sz w:val="32"/>
          <w:szCs w:val="32"/>
          <w:highlight w:val="none"/>
          <w:lang w:val="en-US" w:eastAsia="zh-CN"/>
        </w:rPr>
        <w:t>315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拟购置固定资产</w:t>
      </w:r>
      <w:r>
        <w:rPr>
          <w:rFonts w:hint="eastAsia" w:ascii="Times New Roman" w:hAnsi="Times New Roman" w:eastAsia="仿宋_GB2312" w:cs="Times New Roman"/>
          <w:sz w:val="32"/>
          <w:szCs w:val="32"/>
          <w:highlight w:val="none"/>
        </w:rPr>
        <w:t>总额为</w:t>
      </w:r>
      <w:r>
        <w:rPr>
          <w:rFonts w:hint="eastAsia" w:ascii="Times New Roman" w:hAnsi="Times New Roman" w:eastAsia="仿宋_GB2312" w:cs="Times New Roman"/>
          <w:sz w:val="32"/>
          <w:szCs w:val="32"/>
          <w:highlight w:val="none"/>
          <w:lang w:val="en-US" w:eastAsia="zh-CN"/>
        </w:rPr>
        <w:t>97.73</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主要为</w:t>
      </w:r>
      <w:r>
        <w:rPr>
          <w:rFonts w:hint="eastAsia" w:ascii="Times New Roman" w:hAnsi="Times New Roman" w:eastAsia="仿宋_GB2312" w:cs="Times New Roman"/>
          <w:sz w:val="32"/>
          <w:szCs w:val="32"/>
          <w:highlight w:val="none"/>
          <w:lang w:eastAsia="zh-CN"/>
        </w:rPr>
        <w:t>校园房顶彩钢防水和更换门窗、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计算机设备、打印设备、空调、办公家具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等，已列入政府采购预算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详见</w:t>
      </w:r>
      <w:r>
        <w:rPr>
          <w:rFonts w:hint="eastAsia" w:ascii="Times New Roman" w:hAnsi="Times New Roman" w:eastAsia="仿宋_GB2312" w:cs="Times New Roman"/>
          <w:sz w:val="32"/>
          <w:szCs w:val="32"/>
          <w:highlight w:val="none"/>
        </w:rPr>
        <w:t>政府采购</w:t>
      </w:r>
      <w:r>
        <w:rPr>
          <w:rFonts w:ascii="Times New Roman" w:hAnsi="Times New Roman" w:eastAsia="仿宋_GB2312" w:cs="Times New Roman"/>
          <w:sz w:val="32"/>
          <w:szCs w:val="32"/>
          <w:highlight w:val="none"/>
        </w:rPr>
        <w:t>预算表。</w:t>
      </w:r>
    </w:p>
    <w:p>
      <w:pPr>
        <w:spacing w:line="584" w:lineRule="exact"/>
        <w:ind w:firstLine="640"/>
        <w:rPr>
          <w:rFonts w:ascii="Times New Roman" w:hAnsi="Times New Roman" w:eastAsia="仿宋_GB2312" w:cs="Times New Roman"/>
          <w:sz w:val="32"/>
          <w:szCs w:val="32"/>
          <w:highlight w:val="none"/>
        </w:rPr>
      </w:pPr>
    </w:p>
    <w:tbl>
      <w:tblPr>
        <w:tblStyle w:val="8"/>
        <w:tblW w:w="13325" w:type="dxa"/>
        <w:tblInd w:w="-15" w:type="dxa"/>
        <w:tblLayout w:type="autofit"/>
        <w:tblCellMar>
          <w:top w:w="0" w:type="dxa"/>
          <w:left w:w="10" w:type="dxa"/>
          <w:bottom w:w="0" w:type="dxa"/>
          <w:right w:w="10" w:type="dxa"/>
        </w:tblCellMar>
      </w:tblPr>
      <w:tblGrid>
        <w:gridCol w:w="5163"/>
        <w:gridCol w:w="3118"/>
        <w:gridCol w:w="5044"/>
      </w:tblGrid>
      <w:tr>
        <w:tblPrEx>
          <w:tblCellMar>
            <w:top w:w="0" w:type="dxa"/>
            <w:left w:w="10" w:type="dxa"/>
            <w:bottom w:w="0" w:type="dxa"/>
            <w:right w:w="10" w:type="dxa"/>
          </w:tblCellMar>
        </w:tblPrEx>
        <w:trPr>
          <w:trHeight w:val="705" w:hRule="atLeast"/>
        </w:trPr>
        <w:tc>
          <w:tcPr>
            <w:tcW w:w="13325" w:type="dxa"/>
            <w:gridSpan w:val="3"/>
            <w:tcBorders>
              <w:top w:val="nil"/>
              <w:left w:val="nil"/>
              <w:bottom w:val="nil"/>
              <w:right w:val="nil"/>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廊坊市</w:t>
            </w:r>
            <w:r>
              <w:rPr>
                <w:rFonts w:hint="eastAsia" w:ascii="Times New Roman" w:hAnsi="Times New Roman" w:eastAsia="仿宋_GB2312" w:cs="Times New Roman"/>
                <w:b/>
                <w:bCs/>
                <w:sz w:val="32"/>
                <w:szCs w:val="32"/>
                <w:highlight w:val="none"/>
              </w:rPr>
              <w:t>广阳区区</w:t>
            </w:r>
            <w:r>
              <w:rPr>
                <w:rFonts w:ascii="Times New Roman" w:hAnsi="Times New Roman" w:eastAsia="仿宋_GB2312" w:cs="Times New Roman"/>
                <w:b/>
                <w:bCs/>
                <w:sz w:val="32"/>
                <w:szCs w:val="32"/>
                <w:highlight w:val="none"/>
              </w:rPr>
              <w:t>直</w:t>
            </w:r>
            <w:r>
              <w:rPr>
                <w:rFonts w:hint="eastAsia" w:ascii="Times New Roman" w:hAnsi="Times New Roman" w:eastAsia="仿宋_GB2312" w:cs="Times New Roman"/>
                <w:b/>
                <w:bCs/>
                <w:sz w:val="32"/>
                <w:szCs w:val="32"/>
                <w:highlight w:val="none"/>
                <w:lang w:eastAsia="zh-CN"/>
              </w:rPr>
              <w:t>单位</w:t>
            </w:r>
            <w:r>
              <w:rPr>
                <w:rFonts w:ascii="Times New Roman" w:hAnsi="Times New Roman" w:eastAsia="仿宋_GB2312" w:cs="Times New Roman"/>
                <w:b/>
                <w:bCs/>
                <w:sz w:val="32"/>
                <w:szCs w:val="32"/>
                <w:highlight w:val="none"/>
              </w:rPr>
              <w:t>固定资产占用情况表</w:t>
            </w:r>
          </w:p>
        </w:tc>
      </w:tr>
      <w:tr>
        <w:tblPrEx>
          <w:tblCellMar>
            <w:top w:w="0" w:type="dxa"/>
            <w:left w:w="10" w:type="dxa"/>
            <w:bottom w:w="0" w:type="dxa"/>
            <w:right w:w="10" w:type="dxa"/>
          </w:tblCellMar>
        </w:tblPrEx>
        <w:trPr>
          <w:trHeight w:val="510" w:hRule="atLeast"/>
        </w:trPr>
        <w:tc>
          <w:tcPr>
            <w:tcW w:w="8281" w:type="dxa"/>
            <w:gridSpan w:val="2"/>
            <w:tcBorders>
              <w:top w:val="nil"/>
              <w:left w:val="nil"/>
              <w:bottom w:val="nil"/>
              <w:right w:val="nil"/>
            </w:tcBorders>
            <w:tcMar>
              <w:top w:w="0" w:type="dxa"/>
              <w:left w:w="108" w:type="dxa"/>
              <w:bottom w:w="0" w:type="dxa"/>
              <w:right w:w="108" w:type="dxa"/>
            </w:tcMar>
            <w:vAlign w:val="center"/>
          </w:tcPr>
          <w:p>
            <w:pPr>
              <w:widowControl/>
              <w:spacing w:line="584" w:lineRule="exact"/>
              <w:jc w:val="left"/>
              <w:rPr>
                <w:rFonts w:hint="eastAsia" w:ascii="Times New Roman" w:hAnsi="Times New Roman" w:eastAsia="仿宋_GB2312" w:cs="Times New Roman"/>
                <w:sz w:val="22"/>
                <w:highlight w:val="none"/>
                <w:lang w:eastAsia="zh-CN"/>
              </w:rPr>
            </w:pPr>
            <w:r>
              <w:rPr>
                <w:rFonts w:ascii="Times New Roman" w:hAnsi="Times New Roman" w:eastAsia="仿宋_GB2312" w:cs="Times New Roman"/>
                <w:sz w:val="22"/>
                <w:highlight w:val="none"/>
              </w:rPr>
              <w:t>编制</w:t>
            </w:r>
            <w:r>
              <w:rPr>
                <w:rFonts w:hint="eastAsia" w:ascii="Times New Roman" w:hAnsi="Times New Roman" w:eastAsia="仿宋_GB2312" w:cs="Times New Roman"/>
                <w:sz w:val="22"/>
                <w:highlight w:val="none"/>
                <w:lang w:eastAsia="zh-CN"/>
              </w:rPr>
              <w:t>单位</w:t>
            </w:r>
            <w:r>
              <w:rPr>
                <w:rFonts w:ascii="Times New Roman" w:hAnsi="Times New Roman" w:eastAsia="仿宋_GB2312" w:cs="Times New Roman"/>
                <w:sz w:val="22"/>
                <w:highlight w:val="none"/>
              </w:rPr>
              <w:t>：廊坊市</w:t>
            </w:r>
            <w:r>
              <w:rPr>
                <w:rFonts w:hint="eastAsia" w:ascii="Times New Roman" w:hAnsi="Times New Roman" w:eastAsia="仿宋_GB2312" w:cs="Times New Roman"/>
                <w:sz w:val="22"/>
                <w:highlight w:val="none"/>
              </w:rPr>
              <w:t>广阳区</w:t>
            </w:r>
            <w:r>
              <w:rPr>
                <w:rFonts w:hint="eastAsia" w:ascii="Times New Roman" w:hAnsi="Times New Roman" w:eastAsia="仿宋_GB2312" w:cs="Times New Roman"/>
                <w:sz w:val="22"/>
                <w:highlight w:val="none"/>
                <w:lang w:eastAsia="zh-CN"/>
              </w:rPr>
              <w:t>万庄镇倘户营小学</w:t>
            </w:r>
          </w:p>
        </w:tc>
        <w:tc>
          <w:tcPr>
            <w:tcW w:w="5044" w:type="dxa"/>
            <w:tcBorders>
              <w:top w:val="nil"/>
              <w:left w:val="nil"/>
              <w:bottom w:val="nil"/>
              <w:right w:val="nil"/>
            </w:tcBorders>
            <w:tcMar>
              <w:top w:w="0" w:type="dxa"/>
              <w:left w:w="108" w:type="dxa"/>
              <w:bottom w:w="0" w:type="dxa"/>
              <w:right w:w="108" w:type="dxa"/>
            </w:tcMar>
            <w:vAlign w:val="center"/>
          </w:tcPr>
          <w:p>
            <w:pPr>
              <w:widowControl/>
              <w:spacing w:line="584" w:lineRule="exact"/>
              <w:jc w:val="left"/>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截止时间：20</w:t>
            </w:r>
            <w:r>
              <w:rPr>
                <w:rFonts w:hint="eastAsia" w:ascii="Times New Roman" w:hAnsi="Times New Roman" w:eastAsia="仿宋_GB2312" w:cs="Times New Roman"/>
                <w:sz w:val="22"/>
                <w:highlight w:val="none"/>
              </w:rPr>
              <w:t>2</w:t>
            </w:r>
            <w:r>
              <w:rPr>
                <w:rFonts w:ascii="Times New Roman" w:hAnsi="Times New Roman" w:eastAsia="仿宋_GB2312" w:cs="Times New Roman"/>
                <w:sz w:val="22"/>
                <w:highlight w:val="none"/>
              </w:rPr>
              <w:t xml:space="preserve">1年12月31日  </w:t>
            </w:r>
          </w:p>
        </w:tc>
      </w:tr>
      <w:tr>
        <w:tblPrEx>
          <w:tblCellMar>
            <w:top w:w="0" w:type="dxa"/>
            <w:left w:w="10" w:type="dxa"/>
            <w:bottom w:w="0" w:type="dxa"/>
            <w:right w:w="10" w:type="dxa"/>
          </w:tblCellMar>
        </w:tblPrEx>
        <w:trPr>
          <w:trHeight w:val="567" w:hRule="exact"/>
        </w:trPr>
        <w:tc>
          <w:tcPr>
            <w:tcW w:w="51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22"/>
                <w:highlight w:val="none"/>
              </w:rPr>
            </w:pPr>
            <w:r>
              <w:rPr>
                <w:rFonts w:ascii="Times New Roman" w:hAnsi="Times New Roman" w:eastAsia="仿宋_GB2312" w:cs="Times New Roman"/>
                <w:b/>
                <w:bCs/>
                <w:sz w:val="22"/>
                <w:highlight w:val="none"/>
              </w:rPr>
              <w:t>项   目</w:t>
            </w:r>
          </w:p>
        </w:tc>
        <w:tc>
          <w:tcPr>
            <w:tcW w:w="311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22"/>
                <w:highlight w:val="none"/>
              </w:rPr>
            </w:pPr>
            <w:r>
              <w:rPr>
                <w:rFonts w:ascii="Times New Roman" w:hAnsi="Times New Roman" w:eastAsia="仿宋_GB2312" w:cs="Times New Roman"/>
                <w:b/>
                <w:bCs/>
                <w:sz w:val="22"/>
                <w:highlight w:val="none"/>
              </w:rPr>
              <w:t>数量</w:t>
            </w:r>
          </w:p>
        </w:tc>
        <w:tc>
          <w:tcPr>
            <w:tcW w:w="504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b/>
                <w:bCs/>
                <w:sz w:val="22"/>
                <w:highlight w:val="none"/>
              </w:rPr>
            </w:pPr>
            <w:r>
              <w:rPr>
                <w:rFonts w:ascii="Times New Roman" w:hAnsi="Times New Roman" w:eastAsia="仿宋_GB2312" w:cs="Times New Roman"/>
                <w:b/>
                <w:bCs/>
                <w:sz w:val="22"/>
                <w:highlight w:val="none"/>
              </w:rPr>
              <w:t>价值（金额单位：万元）</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资产总额</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1198.7</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315</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1、房屋（平方米）</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1198.7</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315</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其中：办公用房（平方米）</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126</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40</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2、车辆（台、辆）</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3、单价在20万元以上的设备</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0</w:t>
            </w:r>
          </w:p>
        </w:tc>
      </w:tr>
      <w:tr>
        <w:tblPrEx>
          <w:tblCellMar>
            <w:top w:w="0" w:type="dxa"/>
            <w:left w:w="10" w:type="dxa"/>
            <w:bottom w:w="0" w:type="dxa"/>
            <w:right w:w="10" w:type="dxa"/>
          </w:tblCellMar>
        </w:tblPrEx>
        <w:trPr>
          <w:trHeight w:val="567" w:hRule="exact"/>
        </w:trPr>
        <w:tc>
          <w:tcPr>
            <w:tcW w:w="51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4、其他固定资产</w:t>
            </w:r>
          </w:p>
        </w:tc>
        <w:tc>
          <w:tcPr>
            <w:tcW w:w="31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sz w:val="22"/>
              </w:rPr>
            </w:pPr>
          </w:p>
        </w:tc>
        <w:tc>
          <w:tcPr>
            <w:tcW w:w="5044" w:type="dxa"/>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584" w:lineRule="exact"/>
              <w:jc w:val="center"/>
              <w:rPr>
                <w:rFonts w:ascii="Times New Roman" w:hAnsi="Times New Roman" w:eastAsia="仿宋_GB2312" w:cs="Times New Roman"/>
                <w:sz w:val="22"/>
              </w:rPr>
            </w:pPr>
          </w:p>
        </w:tc>
      </w:tr>
    </w:tbl>
    <w:p>
      <w:pPr>
        <w:spacing w:line="584"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spacing w:line="584"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footnotePr>
        <w:numFmt w:val="decimal"/>
      </w:footnotePr>
      <w:endnotePr>
        <w:numFmt w:val="decimal"/>
      </w:endnotePr>
      <w:pgSz w:w="16838" w:h="11906" w:orient="landscape"/>
      <w:pgMar w:top="1800" w:right="1440" w:bottom="1800" w:left="1440" w:header="720"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A993A-0735-461A-B400-B30794DAD8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B0604020202020204"/>
    <w:charset w:val="00"/>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BE9A8E2C-0E3B-4B6E-A013-E8836EA68D91}"/>
  </w:font>
  <w:font w:name="仿宋_GB2312">
    <w:panose1 w:val="02010609030101010101"/>
    <w:charset w:val="86"/>
    <w:family w:val="modern"/>
    <w:pitch w:val="default"/>
    <w:sig w:usb0="00000001" w:usb1="080E0000" w:usb2="00000000" w:usb3="00000000" w:csb0="00040000" w:csb1="00000000"/>
    <w:embedRegular r:id="rId3" w:fontKey="{A8CC2F2F-2AE3-44F1-B68F-D194377EEF9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10600030101010101"/>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w:t>
    </w:r>
    <w:r>
      <w:fldChar w:fldCharType="begin"/>
    </w:r>
    <w:r>
      <w:instrText xml:space="preserve"> PAGE \* Arabic </w:instrText>
    </w:r>
    <w:r>
      <w:fldChar w:fldCharType="separate"/>
    </w:r>
    <w:r>
      <w:t>13</w:t>
    </w:r>
    <w:r>
      <w:fldChar w:fldCharType="end"/>
    </w:r>
    <w:r>
      <w:t>-</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000000"/>
    <w:rsid w:val="14033904"/>
    <w:rsid w:val="1D5637EF"/>
    <w:rsid w:val="26053F79"/>
    <w:rsid w:val="35A839F5"/>
    <w:rsid w:val="3A811BFC"/>
    <w:rsid w:val="478A1375"/>
    <w:rsid w:val="51D0487E"/>
    <w:rsid w:val="541A56F6"/>
    <w:rsid w:val="5DBC7C35"/>
    <w:rsid w:val="6333084F"/>
    <w:rsid w:val="662A688D"/>
    <w:rsid w:val="6B58349A"/>
    <w:rsid w:val="70ED3C68"/>
    <w:rsid w:val="721E2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1"/>
      <w:sz w:val="21"/>
      <w:szCs w:val="22"/>
      <w:lang w:val="en-US" w:eastAsia="zh-CN" w:bidi="ar-SA"/>
    </w:rPr>
  </w:style>
  <w:style w:type="character" w:default="1" w:styleId="9">
    <w:name w:val="Default Paragraph Font"/>
    <w:qFormat/>
    <w:uiPriority w:val="0"/>
    <w:rPr>
      <w:rFonts w:ascii="Times New Roman" w:hAnsi="Times New Roman" w:cs="Times New Roman"/>
      <w:kern w:val="0"/>
      <w:sz w:val="20"/>
      <w:szCs w:val="20"/>
      <w:lang w:val="en-US" w:eastAsia="zh-CN" w:bidi="ar-SA"/>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宋体" w:cs="Arial"/>
      <w:kern w:val="1"/>
      <w:sz w:val="18"/>
      <w:szCs w:val="18"/>
      <w:lang w:val="en-US" w:eastAsia="zh-CN" w:bidi="ar-SA"/>
    </w:rPr>
  </w:style>
  <w:style w:type="paragraph" w:styleId="3">
    <w:name w:val="footer"/>
    <w:qFormat/>
    <w:uiPriority w:val="0"/>
    <w:pPr>
      <w:widowControl w:val="0"/>
      <w:tabs>
        <w:tab w:val="center" w:pos="4153"/>
        <w:tab w:val="right" w:pos="8306"/>
      </w:tabs>
      <w:jc w:val="left"/>
    </w:pPr>
    <w:rPr>
      <w:rFonts w:ascii="Times New Roman" w:hAnsi="Times New Roman" w:eastAsia="宋体"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5">
    <w:name w:val="toc 1"/>
    <w:next w:val="1"/>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6">
    <w:name w:val="footnote text"/>
    <w:qFormat/>
    <w:uiPriority w:val="0"/>
    <w:pPr>
      <w:widowControl w:val="0"/>
      <w:jc w:val="left"/>
    </w:pPr>
    <w:rPr>
      <w:rFonts w:ascii="Calibri" w:hAnsi="Calibri" w:eastAsia="宋体" w:cs="Times New Roman"/>
      <w:kern w:val="1"/>
      <w:sz w:val="18"/>
      <w:szCs w:val="18"/>
      <w:lang w:val="en-US" w:eastAsia="zh-CN" w:bidi="ar-SA"/>
    </w:rPr>
  </w:style>
  <w:style w:type="paragraph" w:styleId="7">
    <w:name w:val="toc 2"/>
    <w:next w:val="1"/>
    <w:qFormat/>
    <w:uiPriority w:val="0"/>
    <w:pPr>
      <w:widowControl w:val="0"/>
      <w:ind w:left="200"/>
      <w:jc w:val="both"/>
    </w:pPr>
    <w:rPr>
      <w:rFonts w:ascii="Times New Roman" w:hAnsi="Times New Roman" w:eastAsia="宋体" w:cs="Times New Roman"/>
      <w:kern w:val="1"/>
      <w:sz w:val="21"/>
      <w:szCs w:val="24"/>
      <w:lang w:val="en-US" w:eastAsia="zh-CN" w:bidi="ar-SA"/>
    </w:rPr>
  </w:style>
  <w:style w:type="character" w:styleId="10">
    <w:name w:val="footnote reference"/>
    <w:qFormat/>
    <w:uiPriority w:val="0"/>
    <w:rPr>
      <w:rFonts w:ascii="Times New Roman" w:hAnsi="Times New Roman" w:cs="Times New Roman"/>
      <w:kern w:val="0"/>
      <w:sz w:val="20"/>
      <w:szCs w:val="20"/>
      <w:vertAlign w:val="superscript"/>
      <w:lang w:val="en-US" w:eastAsia="zh-CN" w:bidi="ar-SA"/>
    </w:rPr>
  </w:style>
  <w:style w:type="paragraph" w:customStyle="1" w:styleId="11">
    <w:name w:val="Default"/>
    <w:qFormat/>
    <w:uiPriority w:val="0"/>
    <w:pPr>
      <w:widowControl w:val="0"/>
      <w:jc w:val="left"/>
    </w:pPr>
    <w:rPr>
      <w:rFonts w:ascii="Times New Roman" w:hAnsi="Times New Roman" w:eastAsia="宋体" w:cs="Times New Roman"/>
      <w:kern w:val="0"/>
      <w:sz w:val="24"/>
      <w:szCs w:val="24"/>
      <w:lang w:val="en-US" w:eastAsia="zh-CN" w:bidi="ar-SA"/>
    </w:rPr>
  </w:style>
  <w:style w:type="paragraph" w:customStyle="1" w:styleId="12">
    <w:name w:val="单元格样式1"/>
    <w:qFormat/>
    <w:uiPriority w:val="0"/>
    <w:pPr>
      <w:widowControl/>
      <w:jc w:val="center"/>
    </w:pPr>
    <w:rPr>
      <w:rFonts w:ascii="方正书宋_GBK" w:hAnsi="方正书宋_GBK" w:eastAsia="方正书宋_GBK" w:cs="方正书宋_GBK"/>
      <w:b/>
      <w:kern w:val="1"/>
      <w:sz w:val="21"/>
      <w:szCs w:val="24"/>
      <w:lang w:val="en-US" w:eastAsia="zh-CN" w:bidi="ar-SA"/>
    </w:rPr>
  </w:style>
  <w:style w:type="paragraph" w:customStyle="1" w:styleId="13">
    <w:name w:val="单元格样式4"/>
    <w:qFormat/>
    <w:uiPriority w:val="0"/>
    <w:pPr>
      <w:widowControl/>
      <w:jc w:val="right"/>
    </w:pPr>
    <w:rPr>
      <w:rFonts w:ascii="方正书宋_GBK" w:hAnsi="方正书宋_GBK" w:eastAsia="方正书宋_GBK" w:cs="方正书宋_GBK"/>
      <w:kern w:val="1"/>
      <w:sz w:val="21"/>
      <w:szCs w:val="24"/>
      <w:lang w:val="en-US" w:eastAsia="zh-CN" w:bidi="ar-SA"/>
    </w:rPr>
  </w:style>
  <w:style w:type="paragraph" w:customStyle="1" w:styleId="14">
    <w:name w:val="单元格样式2"/>
    <w:qFormat/>
    <w:uiPriority w:val="0"/>
    <w:pPr>
      <w:widowControl/>
      <w:jc w:val="left"/>
    </w:pPr>
    <w:rPr>
      <w:rFonts w:ascii="方正书宋_GBK" w:hAnsi="方正书宋_GBK" w:eastAsia="方正书宋_GBK" w:cs="方正书宋_GBK"/>
      <w:kern w:val="1"/>
      <w:sz w:val="21"/>
      <w:szCs w:val="24"/>
      <w:lang w:val="en-US" w:eastAsia="zh-CN" w:bidi="ar-SA"/>
    </w:rPr>
  </w:style>
  <w:style w:type="paragraph" w:customStyle="1" w:styleId="15">
    <w:name w:val="单元格样式3"/>
    <w:qFormat/>
    <w:uiPriority w:val="0"/>
    <w:pPr>
      <w:widowControl/>
      <w:jc w:val="center"/>
    </w:pPr>
    <w:rPr>
      <w:rFonts w:ascii="方正书宋_GBK" w:hAnsi="方正书宋_GBK" w:eastAsia="方正书宋_GBK" w:cs="方正书宋_GBK"/>
      <w:kern w:val="1"/>
      <w:sz w:val="21"/>
      <w:szCs w:val="24"/>
      <w:lang w:val="en-US" w:eastAsia="zh-CN" w:bidi="ar-SA"/>
    </w:rPr>
  </w:style>
  <w:style w:type="paragraph" w:customStyle="1" w:styleId="16">
    <w:name w:val="单元格样式6"/>
    <w:qFormat/>
    <w:uiPriority w:val="0"/>
    <w:pPr>
      <w:widowControl/>
      <w:jc w:val="center"/>
    </w:pPr>
    <w:rPr>
      <w:rFonts w:ascii="方正书宋_GBK" w:hAnsi="方正书宋_GBK" w:eastAsia="方正书宋_GBK" w:cs="方正书宋_GBK"/>
      <w:b/>
      <w:kern w:val="1"/>
      <w:sz w:val="21"/>
      <w:szCs w:val="24"/>
      <w:lang w:val="en-US" w:eastAsia="zh-CN" w:bidi="ar-SA"/>
    </w:rPr>
  </w:style>
  <w:style w:type="paragraph" w:customStyle="1" w:styleId="17">
    <w:name w:val="单元格样式7"/>
    <w:qFormat/>
    <w:uiPriority w:val="0"/>
    <w:pPr>
      <w:widowControl/>
      <w:jc w:val="right"/>
    </w:pPr>
    <w:rPr>
      <w:rFonts w:ascii="方正书宋_GBK" w:hAnsi="方正书宋_GBK" w:eastAsia="方正书宋_GBK" w:cs="方正书宋_GBK"/>
      <w:b/>
      <w:kern w:val="1"/>
      <w:sz w:val="21"/>
      <w:szCs w:val="24"/>
      <w:lang w:val="en-US" w:eastAsia="zh-CN" w:bidi="ar-SA"/>
    </w:rPr>
  </w:style>
  <w:style w:type="paragraph" w:customStyle="1" w:styleId="18">
    <w:name w:val="单元格样式5"/>
    <w:qFormat/>
    <w:uiPriority w:val="0"/>
    <w:pPr>
      <w:widowControl/>
      <w:jc w:val="left"/>
    </w:pPr>
    <w:rPr>
      <w:rFonts w:ascii="方正书宋_GBK" w:hAnsi="方正书宋_GBK" w:eastAsia="方正书宋_GBK" w:cs="方正书宋_GBK"/>
      <w:b/>
      <w:kern w:val="1"/>
      <w:sz w:val="21"/>
      <w:szCs w:val="24"/>
      <w:lang w:val="en-US" w:eastAsia="zh-CN" w:bidi="ar-SA"/>
    </w:rPr>
  </w:style>
  <w:style w:type="paragraph" w:customStyle="1" w:styleId="19">
    <w:name w:val="插入文本样式-插入总体目标文件"/>
    <w:qFormat/>
    <w:uiPriority w:val="0"/>
    <w:pPr>
      <w:widowControl w:val="0"/>
      <w:spacing w:line="500" w:lineRule="exact"/>
      <w:ind w:firstLine="560"/>
      <w:jc w:val="left"/>
    </w:pPr>
    <w:rPr>
      <w:rFonts w:ascii="Times New Roman" w:hAnsi="Times New Roman" w:eastAsia="方正仿宋_GBK" w:cs="Times New Roman"/>
      <w:kern w:val="1"/>
      <w:sz w:val="28"/>
      <w:szCs w:val="22"/>
      <w:lang w:val="en-US" w:eastAsia="zh-CN" w:bidi="ar-SA"/>
    </w:rPr>
  </w:style>
  <w:style w:type="paragraph" w:customStyle="1" w:styleId="20">
    <w:name w:val="插入文本样式-插入职责分类绩效目标文件"/>
    <w:qFormat/>
    <w:uiPriority w:val="0"/>
    <w:pPr>
      <w:widowControl w:val="0"/>
      <w:spacing w:line="500" w:lineRule="exact"/>
      <w:ind w:firstLine="560"/>
      <w:jc w:val="left"/>
    </w:pPr>
    <w:rPr>
      <w:rFonts w:ascii="Times New Roman" w:hAnsi="Times New Roman" w:eastAsia="方正仿宋_GBK" w:cs="Times New Roman"/>
      <w:kern w:val="1"/>
      <w:sz w:val="28"/>
      <w:szCs w:val="22"/>
      <w:lang w:val="en-US" w:eastAsia="zh-CN" w:bidi="ar-SA"/>
    </w:rPr>
  </w:style>
  <w:style w:type="paragraph" w:customStyle="1" w:styleId="21">
    <w:name w:val="插入文本样式-插入实现年度发展规划目标的保障措施文件"/>
    <w:qFormat/>
    <w:uiPriority w:val="0"/>
    <w:pPr>
      <w:widowControl w:val="0"/>
      <w:spacing w:line="500" w:lineRule="exact"/>
      <w:ind w:firstLine="560"/>
      <w:jc w:val="left"/>
    </w:pPr>
    <w:rPr>
      <w:rFonts w:ascii="Times New Roman" w:hAnsi="Times New Roman" w:eastAsia="方正仿宋_GBK" w:cs="Times New Roman"/>
      <w:kern w:val="1"/>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4917</Words>
  <Characters>5110</Characters>
  <TotalTime>4</TotalTime>
  <ScaleCrop>false</ScaleCrop>
  <LinksUpToDate>false</LinksUpToDate>
  <CharactersWithSpaces>5211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2023-08-01T09:31:37Z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8EA907F29D3148A18A7CA5F37365F427</vt:lpwstr>
  </property>
</Properties>
</file>