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广阳区万庄镇伊指挥营中心小学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广阳区万庄镇伊指挥营中心小学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廊坊市广阳区万庄镇伊指挥营中心小学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广阳区万庄镇伊指挥营中心小学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2年预算收入91.12万元，其中：一般公共预算收入91.12万元，基金预算收入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广阳区万庄镇伊指挥营中心小学2022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2年支出预算91.12万元，其中基本支出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万元；运转类其他及特定目标类项目支出91.12万元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2年预算收支安排91.12万元，较20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万元，其中：基本支出减少0万元；项目支出增加91.12万元，主要为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指挥营学校对2022年在校学生645人，按照义务教育生均公用经费标准申请财政预算资金，通过合理、合规使用资金达到保证学校正常运转，改善办学条件，促进义务教育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6"/>
        <w:gridCol w:w="1302"/>
        <w:gridCol w:w="2370"/>
        <w:gridCol w:w="4074"/>
        <w:gridCol w:w="912"/>
        <w:gridCol w:w="3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5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2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249"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645人</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1.指挥营学校对2022年在校学生645人，按照义务教育生均公用经费标准申请财政预算资金，通过合理、合规使用资金达到保证学校正常运转，改善办学条件，促进义务教育发展。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1135"/>
        <w:gridCol w:w="2127"/>
        <w:gridCol w:w="3401"/>
        <w:gridCol w:w="1561"/>
        <w:gridCol w:w="4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93"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0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63"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22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6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75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645元</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757" w:type="pct"/>
            <w:vAlign w:val="center"/>
          </w:tcPr>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757" w:type="pct"/>
            <w:vAlign w:val="center"/>
          </w:tcPr>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2782"/>
        <w:gridCol w:w="1876"/>
        <w:gridCol w:w="4073"/>
        <w:gridCol w:w="2328"/>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99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≤9.73万元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5.幼儿园生均经费绩效目标表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23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伊指挥营幼儿园对2022年在园幼儿287人，按照幼儿园生均公用经费标准申请财政预算资金，通过合理、合规使用资金达到保证幼儿园正常运转，改善办园条件，促进义务教育发展。</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4"/>
        <w:gridCol w:w="1381"/>
        <w:gridCol w:w="1846"/>
        <w:gridCol w:w="2974"/>
        <w:gridCol w:w="848"/>
        <w:gridCol w:w="5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87"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5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4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9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912"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287人</w:t>
            </w:r>
          </w:p>
        </w:tc>
        <w:tc>
          <w:tcPr>
            <w:tcW w:w="1912" w:type="pct"/>
            <w:vAlign w:val="center"/>
          </w:tcPr>
          <w:p>
            <w:pPr>
              <w:pStyle w:val="14"/>
              <w:spacing w:line="300" w:lineRule="exact"/>
              <w:rPr>
                <w:rFonts w:hint="eastAsia" w:ascii="仿宋_GB2312" w:hAnsi="仿宋_GB2312" w:eastAsia="仿宋_GB2312" w:cs="仿宋_GB2312"/>
                <w:lang w:val="uk-U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4.6</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rPr>
          <w:rFonts w:hint="eastAsia"/>
        </w:rPr>
        <w:t>[</w:t>
      </w:r>
      <w:r>
        <w:t>965001]廊坊市</w:t>
      </w:r>
      <w:r>
        <w:rPr>
          <w:rFonts w:hint="eastAsia"/>
        </w:rPr>
        <w:t>广阳区万庄镇伊指挥营中心小学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96"/>
        <w:gridCol w:w="1040"/>
        <w:gridCol w:w="1043"/>
        <w:gridCol w:w="652"/>
        <w:gridCol w:w="782"/>
        <w:gridCol w:w="782"/>
        <w:gridCol w:w="887"/>
        <w:gridCol w:w="884"/>
        <w:gridCol w:w="887"/>
        <w:gridCol w:w="884"/>
        <w:gridCol w:w="887"/>
        <w:gridCol w:w="888"/>
        <w:gridCol w:w="885"/>
        <w:gridCol w:w="891"/>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tblHeader/>
          <w:jc w:val="center"/>
        </w:trPr>
        <w:tc>
          <w:tcPr>
            <w:tcW w:w="671" w:type="pct"/>
            <w:gridSpan w:val="2"/>
            <w:vAlign w:val="center"/>
          </w:tcPr>
          <w:p>
            <w:pPr>
              <w:pStyle w:val="12"/>
            </w:pPr>
            <w:r>
              <w:t>政府采购项目来源</w:t>
            </w:r>
          </w:p>
        </w:tc>
        <w:tc>
          <w:tcPr>
            <w:tcW w:w="367"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1" w:type="pct"/>
            <w:gridSpan w:val="8"/>
            <w:vAlign w:val="center"/>
          </w:tcPr>
          <w:p>
            <w:pPr>
              <w:pStyle w:val="12"/>
            </w:pPr>
            <w:r>
              <w:t>政府采购金额（当年</w:t>
            </w:r>
            <w:r>
              <w:rPr>
                <w:rFonts w:hint="eastAsia"/>
                <w:lang w:eastAsia="zh-CN"/>
              </w:rPr>
              <w:t>单位</w:t>
            </w:r>
            <w:r>
              <w:t>预算安排资金）</w:t>
            </w:r>
          </w:p>
        </w:tc>
        <w:tc>
          <w:tcPr>
            <w:tcW w:w="311"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2" w:hRule="atLeast"/>
          <w:tblHeader/>
          <w:jc w:val="center"/>
        </w:trPr>
        <w:tc>
          <w:tcPr>
            <w:tcW w:w="355" w:type="pct"/>
            <w:vAlign w:val="center"/>
          </w:tcPr>
          <w:p>
            <w:pPr>
              <w:pStyle w:val="12"/>
            </w:pPr>
            <w:r>
              <w:t>项目名称</w:t>
            </w:r>
          </w:p>
        </w:tc>
        <w:tc>
          <w:tcPr>
            <w:tcW w:w="315" w:type="pct"/>
            <w:vAlign w:val="center"/>
          </w:tcPr>
          <w:p>
            <w:pPr>
              <w:pStyle w:val="12"/>
            </w:pPr>
            <w:r>
              <w:t>预算    资金</w:t>
            </w:r>
          </w:p>
        </w:tc>
        <w:tc>
          <w:tcPr>
            <w:tcW w:w="367"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2" w:type="pct"/>
            <w:vAlign w:val="center"/>
          </w:tcPr>
          <w:p>
            <w:pPr>
              <w:pStyle w:val="12"/>
            </w:pPr>
            <w:r>
              <w:t>一般公共预算拨款</w:t>
            </w:r>
          </w:p>
        </w:tc>
        <w:tc>
          <w:tcPr>
            <w:tcW w:w="313" w:type="pct"/>
            <w:vAlign w:val="center"/>
          </w:tcPr>
          <w:p>
            <w:pPr>
              <w:pStyle w:val="12"/>
            </w:pPr>
            <w:r>
              <w:t>基金预算拨款</w:t>
            </w:r>
          </w:p>
        </w:tc>
        <w:tc>
          <w:tcPr>
            <w:tcW w:w="312"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2" w:type="pct"/>
            <w:vAlign w:val="center"/>
          </w:tcPr>
          <w:p>
            <w:pPr>
              <w:pStyle w:val="12"/>
            </w:pPr>
            <w:r>
              <w:t>财政拨    款结转</w:t>
            </w:r>
          </w:p>
        </w:tc>
        <w:tc>
          <w:tcPr>
            <w:tcW w:w="314" w:type="pct"/>
            <w:vAlign w:val="center"/>
          </w:tcPr>
          <w:p>
            <w:pPr>
              <w:pStyle w:val="12"/>
            </w:pPr>
            <w:r>
              <w:t>非财政    拨款结    转结余</w:t>
            </w:r>
          </w:p>
        </w:tc>
        <w:tc>
          <w:tcPr>
            <w:tcW w:w="31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1" w:hRule="atLeast"/>
          <w:jc w:val="center"/>
        </w:trPr>
        <w:tc>
          <w:tcPr>
            <w:tcW w:w="355" w:type="pct"/>
            <w:vAlign w:val="center"/>
          </w:tcPr>
          <w:p>
            <w:pPr>
              <w:pStyle w:val="16"/>
            </w:pPr>
            <w:r>
              <w:t>合  计</w:t>
            </w:r>
          </w:p>
        </w:tc>
        <w:tc>
          <w:tcPr>
            <w:tcW w:w="315" w:type="pct"/>
            <w:vAlign w:val="center"/>
          </w:tcPr>
          <w:p>
            <w:pPr>
              <w:pStyle w:val="17"/>
              <w:rPr>
                <w:lang w:eastAsia="zh-CN"/>
              </w:rPr>
            </w:pPr>
            <w:r>
              <w:rPr>
                <w:rFonts w:hint="eastAsia"/>
                <w:lang w:eastAsia="zh-CN"/>
              </w:rPr>
              <w:t>4</w:t>
            </w:r>
            <w:r>
              <w:rPr>
                <w:lang w:eastAsia="zh-CN"/>
              </w:rPr>
              <w:t>.6</w:t>
            </w:r>
          </w:p>
        </w:tc>
        <w:tc>
          <w:tcPr>
            <w:tcW w:w="367" w:type="pct"/>
            <w:vAlign w:val="center"/>
          </w:tcPr>
          <w:p>
            <w:pPr>
              <w:pStyle w:val="18"/>
              <w:rPr>
                <w:lang w:eastAsia="zh-CN"/>
              </w:rPr>
            </w:pPr>
          </w:p>
        </w:tc>
        <w:tc>
          <w:tcPr>
            <w:tcW w:w="368" w:type="pct"/>
            <w:vAlign w:val="center"/>
          </w:tcPr>
          <w:p>
            <w:pPr>
              <w:pStyle w:val="18"/>
            </w:pPr>
          </w:p>
        </w:tc>
        <w:tc>
          <w:tcPr>
            <w:tcW w:w="230" w:type="pct"/>
            <w:vAlign w:val="center"/>
          </w:tcPr>
          <w:p>
            <w:pPr>
              <w:pStyle w:val="16"/>
              <w:rPr>
                <w:lang w:eastAsia="zh-CN"/>
              </w:rPr>
            </w:pPr>
          </w:p>
        </w:tc>
        <w:tc>
          <w:tcPr>
            <w:tcW w:w="276" w:type="pct"/>
            <w:vAlign w:val="center"/>
          </w:tcPr>
          <w:p>
            <w:pPr>
              <w:pStyle w:val="17"/>
              <w:rPr>
                <w:lang w:eastAsia="zh-CN"/>
              </w:rPr>
            </w:pPr>
          </w:p>
        </w:tc>
        <w:tc>
          <w:tcPr>
            <w:tcW w:w="276" w:type="pct"/>
            <w:vAlign w:val="center"/>
          </w:tcPr>
          <w:p>
            <w:pPr>
              <w:pStyle w:val="17"/>
              <w:rPr>
                <w:lang w:eastAsia="zh-CN"/>
              </w:rPr>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3" w:type="pct"/>
            <w:vAlign w:val="center"/>
          </w:tcPr>
          <w:p>
            <w:pPr>
              <w:pStyle w:val="17"/>
            </w:pPr>
          </w:p>
        </w:tc>
        <w:tc>
          <w:tcPr>
            <w:tcW w:w="312" w:type="pct"/>
            <w:vAlign w:val="center"/>
          </w:tcPr>
          <w:p>
            <w:pPr>
              <w:pStyle w:val="17"/>
            </w:pPr>
          </w:p>
        </w:tc>
        <w:tc>
          <w:tcPr>
            <w:tcW w:w="314" w:type="pct"/>
            <w:vAlign w:val="center"/>
          </w:tcPr>
          <w:p>
            <w:pPr>
              <w:pStyle w:val="17"/>
            </w:pPr>
          </w:p>
        </w:tc>
        <w:tc>
          <w:tcPr>
            <w:tcW w:w="31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jc w:val="center"/>
        </w:trPr>
        <w:tc>
          <w:tcPr>
            <w:tcW w:w="355" w:type="pct"/>
            <w:vAlign w:val="center"/>
          </w:tcPr>
          <w:p>
            <w:pPr>
              <w:pStyle w:val="16"/>
            </w:pPr>
          </w:p>
        </w:tc>
        <w:tc>
          <w:tcPr>
            <w:tcW w:w="315" w:type="pct"/>
            <w:vAlign w:val="center"/>
          </w:tcPr>
          <w:p>
            <w:pPr>
              <w:pStyle w:val="17"/>
            </w:pPr>
            <w:r>
              <w:rPr>
                <w:rFonts w:hint="eastAsia"/>
                <w:lang w:eastAsia="zh-CN"/>
              </w:rPr>
              <w:t>4.6</w:t>
            </w:r>
          </w:p>
        </w:tc>
        <w:tc>
          <w:tcPr>
            <w:tcW w:w="367" w:type="pct"/>
            <w:vAlign w:val="center"/>
          </w:tcPr>
          <w:p>
            <w:pPr>
              <w:pStyle w:val="18"/>
            </w:pPr>
            <w:r>
              <w:rPr>
                <w:rFonts w:hint="eastAsia"/>
                <w:lang w:eastAsia="zh-CN"/>
              </w:rPr>
              <w:t>触摸一体机</w:t>
            </w:r>
          </w:p>
        </w:tc>
        <w:tc>
          <w:tcPr>
            <w:tcW w:w="368" w:type="pct"/>
            <w:vAlign w:val="center"/>
          </w:tcPr>
          <w:p>
            <w:pPr>
              <w:pStyle w:val="18"/>
            </w:pPr>
          </w:p>
        </w:tc>
        <w:tc>
          <w:tcPr>
            <w:tcW w:w="230" w:type="pct"/>
            <w:vAlign w:val="center"/>
          </w:tcPr>
          <w:p>
            <w:pPr>
              <w:pStyle w:val="16"/>
            </w:pPr>
            <w:r>
              <w:rPr>
                <w:rFonts w:hint="eastAsia"/>
                <w:lang w:eastAsia="zh-CN"/>
              </w:rPr>
              <w:t>台</w:t>
            </w:r>
          </w:p>
        </w:tc>
        <w:tc>
          <w:tcPr>
            <w:tcW w:w="276" w:type="pct"/>
            <w:vAlign w:val="center"/>
          </w:tcPr>
          <w:p>
            <w:pPr>
              <w:pStyle w:val="17"/>
            </w:pPr>
            <w:r>
              <w:rPr>
                <w:rFonts w:hint="eastAsia"/>
                <w:lang w:eastAsia="zh-CN"/>
              </w:rPr>
              <w:t>2</w:t>
            </w:r>
          </w:p>
        </w:tc>
        <w:tc>
          <w:tcPr>
            <w:tcW w:w="276" w:type="pct"/>
            <w:vAlign w:val="center"/>
          </w:tcPr>
          <w:p>
            <w:pPr>
              <w:pStyle w:val="17"/>
            </w:pPr>
            <w:r>
              <w:rPr>
                <w:rFonts w:hint="eastAsia"/>
                <w:lang w:eastAsia="zh-CN"/>
              </w:rPr>
              <w:t>2.3</w:t>
            </w: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3" w:type="pct"/>
            <w:vAlign w:val="center"/>
          </w:tcPr>
          <w:p>
            <w:pPr>
              <w:pStyle w:val="17"/>
            </w:pPr>
          </w:p>
        </w:tc>
        <w:tc>
          <w:tcPr>
            <w:tcW w:w="312" w:type="pct"/>
            <w:vAlign w:val="center"/>
          </w:tcPr>
          <w:p>
            <w:pPr>
              <w:pStyle w:val="17"/>
            </w:pPr>
          </w:p>
        </w:tc>
        <w:tc>
          <w:tcPr>
            <w:tcW w:w="314" w:type="pct"/>
            <w:vAlign w:val="center"/>
          </w:tcPr>
          <w:p>
            <w:pPr>
              <w:pStyle w:val="17"/>
            </w:pPr>
          </w:p>
        </w:tc>
        <w:tc>
          <w:tcPr>
            <w:tcW w:w="311"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eastAsia="仿宋_GB2312"/>
          <w:sz w:val="32"/>
          <w:szCs w:val="32"/>
        </w:rPr>
        <w:t>廊坊市广阳区万庄镇伊指挥营中心小学</w:t>
      </w:r>
      <w:r>
        <w:rPr>
          <w:rFonts w:ascii="Times New Roman" w:hAnsi="Times New Roman" w:eastAsia="仿宋_GB2312" w:cs="Times New Roman"/>
          <w:sz w:val="32"/>
          <w:szCs w:val="32"/>
        </w:rPr>
        <w:t>上年末固定资产金额为295万元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仿宋_GB2312" w:eastAsia="仿宋_GB2312"/>
                <w:b/>
                <w:bCs/>
                <w:sz w:val="32"/>
                <w:szCs w:val="32"/>
              </w:rPr>
              <w:t>廊坊市广阳区万庄镇伊指挥营中心小学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t>廊坊市</w:t>
            </w:r>
            <w:r>
              <w:rPr>
                <w:rFonts w:hint="eastAsia"/>
              </w:rPr>
              <w:t>广阳区万庄镇伊指挥营中心小学</w:t>
            </w:r>
            <w:r>
              <w:t xml:space="preserve">  </w:t>
            </w:r>
          </w:p>
        </w:tc>
        <w:tc>
          <w:tcPr>
            <w:tcW w:w="5103" w:type="dxa"/>
            <w:tcBorders>
              <w:top w:val="nil"/>
              <w:left w:val="nil"/>
              <w:bottom w:val="nil"/>
              <w:right w:val="nil"/>
            </w:tcBorders>
            <w:shd w:val="clear" w:color="auto" w:fill="auto"/>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tbl>
            <w:tblPr>
              <w:tblStyle w:val="8"/>
              <w:tblW w:w="13485" w:type="dxa"/>
              <w:tblInd w:w="93" w:type="dxa"/>
              <w:tblLayout w:type="fixed"/>
              <w:tblCellMar>
                <w:top w:w="0" w:type="dxa"/>
                <w:left w:w="108" w:type="dxa"/>
                <w:bottom w:w="0" w:type="dxa"/>
                <w:right w:w="108" w:type="dxa"/>
              </w:tblCellMar>
            </w:tblPr>
            <w:tblGrid>
              <w:gridCol w:w="5152"/>
              <w:gridCol w:w="8333"/>
            </w:tblGrid>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ind w:firstLine="1100" w:firstLineChars="500"/>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一批</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w:t>
                  </w:r>
                </w:p>
              </w:tc>
            </w:tr>
          </w:tbl>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一批</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977C2-6B0F-4F1F-924E-691E60229C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2A258A36-B79A-4A5A-A64D-8B579A1FC0F1}"/>
  </w:font>
  <w:font w:name="仿宋_GB2312">
    <w:panose1 w:val="02010609030101010101"/>
    <w:charset w:val="86"/>
    <w:family w:val="modern"/>
    <w:pitch w:val="default"/>
    <w:sig w:usb0="00000001" w:usb1="080E0000" w:usb2="00000000" w:usb3="00000000" w:csb0="00040000" w:csb1="00000000"/>
    <w:embedRegular r:id="rId3" w:fontKey="{5DDAB481-CBCF-4D9C-A1A3-E09C4DF115F9}"/>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C70A9"/>
    <w:rsid w:val="000F6018"/>
    <w:rsid w:val="001E00A7"/>
    <w:rsid w:val="002066E6"/>
    <w:rsid w:val="0025632D"/>
    <w:rsid w:val="003059E0"/>
    <w:rsid w:val="00420EF3"/>
    <w:rsid w:val="004A54AA"/>
    <w:rsid w:val="005A4039"/>
    <w:rsid w:val="00944233"/>
    <w:rsid w:val="00947E99"/>
    <w:rsid w:val="00A839D8"/>
    <w:rsid w:val="00B265FC"/>
    <w:rsid w:val="00B40732"/>
    <w:rsid w:val="00B80935"/>
    <w:rsid w:val="00B917E0"/>
    <w:rsid w:val="00D347CC"/>
    <w:rsid w:val="00D67F90"/>
    <w:rsid w:val="00DC72B4"/>
    <w:rsid w:val="00EA38F4"/>
    <w:rsid w:val="00F5473D"/>
    <w:rsid w:val="03835ABD"/>
    <w:rsid w:val="064B7681"/>
    <w:rsid w:val="06EB17BD"/>
    <w:rsid w:val="077F0D9F"/>
    <w:rsid w:val="08A22FB0"/>
    <w:rsid w:val="0C8607A3"/>
    <w:rsid w:val="0CEC1180"/>
    <w:rsid w:val="109B144E"/>
    <w:rsid w:val="16BC1C2B"/>
    <w:rsid w:val="17703CFF"/>
    <w:rsid w:val="19DC388A"/>
    <w:rsid w:val="1ACC3887"/>
    <w:rsid w:val="1E8C0EA5"/>
    <w:rsid w:val="1FBC739C"/>
    <w:rsid w:val="257937D1"/>
    <w:rsid w:val="29430E26"/>
    <w:rsid w:val="2B3E79F5"/>
    <w:rsid w:val="2F2F3467"/>
    <w:rsid w:val="2F3D3144"/>
    <w:rsid w:val="34101C3F"/>
    <w:rsid w:val="354B32C5"/>
    <w:rsid w:val="3C093C6B"/>
    <w:rsid w:val="40D5422C"/>
    <w:rsid w:val="40EE265A"/>
    <w:rsid w:val="4256495C"/>
    <w:rsid w:val="42615727"/>
    <w:rsid w:val="44852776"/>
    <w:rsid w:val="46D83951"/>
    <w:rsid w:val="49F52E57"/>
    <w:rsid w:val="4A4624A7"/>
    <w:rsid w:val="4D0776B9"/>
    <w:rsid w:val="56463E40"/>
    <w:rsid w:val="566E1937"/>
    <w:rsid w:val="5CFE445B"/>
    <w:rsid w:val="5E903106"/>
    <w:rsid w:val="61AF246D"/>
    <w:rsid w:val="67B119E9"/>
    <w:rsid w:val="6E384804"/>
    <w:rsid w:val="6F59146C"/>
    <w:rsid w:val="70774C60"/>
    <w:rsid w:val="73693C55"/>
    <w:rsid w:val="7542340B"/>
    <w:rsid w:val="7581776F"/>
    <w:rsid w:val="7EC51434"/>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1252</Words>
  <Characters>7139</Characters>
  <Lines>59</Lines>
  <Paragraphs>16</Paragraphs>
  <TotalTime>9</TotalTime>
  <ScaleCrop>false</ScaleCrop>
  <LinksUpToDate>false</LinksUpToDate>
  <CharactersWithSpaces>8375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2023-08-01T09:28:20Z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8A2C3E458AEC459B815E3A13BB1A126A</vt:lpwstr>
  </property>
</Properties>
</file>