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广阳区信访局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广阳区信访局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964" w:firstLineChars="300"/>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r>
        <w:rPr>
          <w:rFonts w:hint="eastAsia" w:ascii="仿宋_GB2312" w:hAnsi="仿宋_GB2312" w:eastAsia="仿宋_GB2312" w:cs="仿宋_GB2312"/>
          <w:sz w:val="32"/>
          <w:szCs w:val="32"/>
        </w:rPr>
        <w:t>研究提出全区信访工作思路，拟定全区信访工作有关</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办理人民群众来信，接待群众来访，</w:t>
      </w:r>
      <w:r>
        <w:rPr>
          <w:rFonts w:hint="eastAsia" w:ascii="仿宋_GB2312" w:hAnsi="仿宋_GB2312" w:eastAsia="仿宋_GB2312" w:cs="仿宋_GB2312"/>
          <w:sz w:val="32"/>
          <w:szCs w:val="32"/>
          <w:lang w:eastAsia="zh-CN"/>
        </w:rPr>
        <w:t>受理群众网上诉求，</w:t>
      </w:r>
      <w:r>
        <w:rPr>
          <w:rFonts w:hint="eastAsia" w:ascii="仿宋_GB2312" w:hAnsi="仿宋_GB2312" w:eastAsia="仿宋_GB2312" w:cs="仿宋_GB2312"/>
          <w:sz w:val="32"/>
          <w:szCs w:val="32"/>
        </w:rPr>
        <w:t>查办信访案件；负责</w:t>
      </w:r>
      <w:r>
        <w:rPr>
          <w:rFonts w:hint="eastAsia" w:ascii="仿宋_GB2312" w:hAnsi="仿宋_GB2312" w:eastAsia="仿宋_GB2312" w:cs="仿宋_GB2312"/>
          <w:sz w:val="32"/>
          <w:szCs w:val="32"/>
          <w:lang w:eastAsia="zh-CN"/>
        </w:rPr>
        <w:t>人民群众建议征集工作。三、</w:t>
      </w:r>
      <w:r>
        <w:rPr>
          <w:rFonts w:hint="eastAsia" w:ascii="仿宋_GB2312" w:hAnsi="仿宋_GB2312" w:eastAsia="仿宋_GB2312" w:cs="仿宋_GB2312"/>
          <w:sz w:val="32"/>
          <w:szCs w:val="32"/>
        </w:rPr>
        <w:t>调查研究和综合分析全区信访形势及信访工作状况，</w:t>
      </w:r>
      <w:r>
        <w:rPr>
          <w:rFonts w:hint="eastAsia" w:ascii="仿宋_GB2312" w:hAnsi="仿宋_GB2312" w:eastAsia="仿宋_GB2312" w:cs="仿宋_GB2312"/>
          <w:sz w:val="32"/>
          <w:szCs w:val="32"/>
          <w:lang w:eastAsia="zh-CN"/>
        </w:rPr>
        <w:t>总结推广各地各单位信访工作经验，提出改进和加强信访工作的意见和建议。四、</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组织、协调、指导</w:t>
      </w:r>
      <w:r>
        <w:rPr>
          <w:rFonts w:hint="eastAsia" w:ascii="仿宋_GB2312" w:hAnsi="仿宋_GB2312" w:eastAsia="仿宋_GB2312" w:cs="仿宋_GB2312"/>
          <w:sz w:val="32"/>
          <w:szCs w:val="32"/>
        </w:rPr>
        <w:t>全区社会治安综合治理和维护社会政治稳定工作，</w:t>
      </w:r>
      <w:r>
        <w:rPr>
          <w:rFonts w:hint="eastAsia" w:ascii="仿宋_GB2312" w:hAnsi="仿宋_GB2312" w:eastAsia="仿宋_GB2312" w:cs="仿宋_GB2312"/>
          <w:sz w:val="32"/>
          <w:szCs w:val="32"/>
          <w:lang w:eastAsia="zh-CN"/>
        </w:rPr>
        <w:t>协助保障国家、省、市、区重大政治活动顺利进行，参与处理影响社会政治</w:t>
      </w:r>
      <w:r>
        <w:rPr>
          <w:rFonts w:hint="eastAsia" w:ascii="仿宋_GB2312" w:hAnsi="仿宋_GB2312" w:eastAsia="仿宋_GB2312" w:cs="仿宋_GB2312"/>
          <w:sz w:val="32"/>
          <w:szCs w:val="32"/>
        </w:rPr>
        <w:t>稳定的突发性、群体性事件。</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督促检查和指导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和区直单位</w:t>
      </w:r>
      <w:r>
        <w:rPr>
          <w:rFonts w:hint="eastAsia" w:ascii="仿宋_GB2312" w:hAnsi="仿宋_GB2312" w:eastAsia="仿宋_GB2312" w:cs="仿宋_GB2312"/>
          <w:sz w:val="32"/>
          <w:szCs w:val="32"/>
        </w:rPr>
        <w:t>的信访工作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乡镇、街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和区直单位</w:t>
      </w:r>
      <w:r>
        <w:rPr>
          <w:rFonts w:hint="eastAsia" w:ascii="仿宋_GB2312" w:hAnsi="仿宋_GB2312" w:eastAsia="仿宋_GB2312" w:cs="仿宋_GB2312"/>
          <w:sz w:val="32"/>
          <w:szCs w:val="32"/>
        </w:rPr>
        <w:t>信访工作年度责任目标进行考核</w:t>
      </w:r>
      <w:r>
        <w:rPr>
          <w:rFonts w:hint="eastAsia" w:ascii="仿宋_GB2312" w:hAnsi="仿宋_GB2312" w:eastAsia="仿宋_GB2312" w:cs="仿宋_GB2312"/>
          <w:sz w:val="32"/>
          <w:szCs w:val="32"/>
          <w:lang w:eastAsia="zh-CN"/>
        </w:rPr>
        <w:t>，对全区社会治安综合治理和维护社会政治稳定年度责任目标中有关信访工作进行考核。六、协助国家信访局、省信访局、市信访局处理群众进京、赴省、到市上访工作，综合协调处理跨地区、跨单位、跨行业的重要信访问题，协助公安机关维护区委、区政府机关正常工作秩序。七、负责区级领导和区直单位领导公开接访和包联案件的组织协调工作。八、承担区信访工作联席会议的日常工作，督促落实联席会议决定的事项。九、完成</w:t>
      </w:r>
      <w:r>
        <w:rPr>
          <w:rFonts w:hint="eastAsia" w:ascii="仿宋_GB2312" w:hAnsi="仿宋_GB2312" w:eastAsia="仿宋_GB2312" w:cs="仿宋_GB2312"/>
          <w:sz w:val="32"/>
          <w:szCs w:val="32"/>
        </w:rPr>
        <w:t>区委、区政府</w:t>
      </w:r>
      <w:r>
        <w:rPr>
          <w:rFonts w:hint="eastAsia" w:ascii="仿宋_GB2312" w:hAnsi="仿宋_GB2312" w:eastAsia="仿宋_GB2312" w:cs="仿宋_GB2312"/>
          <w:sz w:val="32"/>
          <w:szCs w:val="32"/>
          <w:lang w:eastAsia="zh-CN"/>
        </w:rPr>
        <w:t>和国家</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eastAsia="zh-CN"/>
        </w:rPr>
        <w:t>局、省信访局、市信访局</w:t>
      </w:r>
      <w:r>
        <w:rPr>
          <w:rFonts w:hint="eastAsia" w:ascii="仿宋_GB2312" w:hAnsi="仿宋_GB2312" w:eastAsia="仿宋_GB2312" w:cs="仿宋_GB2312"/>
          <w:sz w:val="32"/>
          <w:szCs w:val="32"/>
        </w:rPr>
        <w:t>交办的</w:t>
      </w:r>
      <w:r>
        <w:rPr>
          <w:rFonts w:hint="eastAsia" w:ascii="仿宋_GB2312" w:hAnsi="仿宋_GB2312" w:eastAsia="仿宋_GB2312" w:cs="仿宋_GB2312"/>
          <w:sz w:val="32"/>
          <w:szCs w:val="32"/>
          <w:lang w:eastAsia="zh-CN"/>
        </w:rPr>
        <w:t>其他任务</w:t>
      </w:r>
      <w:r>
        <w:rPr>
          <w:rFonts w:hint="eastAsia" w:ascii="仿宋_GB2312" w:hAnsi="仿宋_GB2312" w:eastAsia="仿宋_GB2312" w:cs="仿宋_GB2312"/>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廊坊市广阳区信访局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lang w:eastAsia="zh-C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广阳区信访局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广阳区信访局</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244.21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215.74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28.47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370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属于</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lang w:eastAsia="zh-CN"/>
        </w:rPr>
        <w:t>信访值班工作经费、维稳工作经费</w:t>
      </w:r>
      <w:r>
        <w:rPr>
          <w:rFonts w:ascii="Times New Roman" w:hAnsi="Times New Roman" w:eastAsia="仿宋_GB2312" w:cs="Times New Roman"/>
          <w:sz w:val="32"/>
          <w:szCs w:val="32"/>
        </w:rPr>
        <w:t>项目支出。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614.21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354.27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15.73</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auto"/>
          <w:sz w:val="32"/>
          <w:szCs w:val="32"/>
          <w:highlight w:val="none"/>
          <w:lang w:eastAsia="zh-CN"/>
        </w:rPr>
        <w:t>人员经费</w:t>
      </w:r>
      <w:r>
        <w:rPr>
          <w:rFonts w:ascii="Times New Roman" w:hAnsi="Times New Roman" w:eastAsia="仿宋_GB2312" w:cs="Times New Roman"/>
          <w:sz w:val="32"/>
          <w:szCs w:val="32"/>
        </w:rPr>
        <w:t>支出</w:t>
      </w:r>
      <w:r>
        <w:rPr>
          <w:rFonts w:ascii="Times New Roman" w:hAnsi="Times New Roman" w:eastAsia="仿宋_GB2312" w:cs="Times New Roman"/>
          <w:color w:val="auto"/>
          <w:sz w:val="32"/>
          <w:szCs w:val="32"/>
          <w:highlight w:val="none"/>
        </w:rPr>
        <w:t>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lang w:val="en-US" w:eastAsia="zh-CN"/>
        </w:rPr>
        <w:t>370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信访值班工作经费、维稳工作经费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28.47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信访局</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8" w:firstLine="640" w:firstLineChars="200"/>
        <w:jc w:val="left"/>
        <w:rPr>
          <w:rFonts w:hint="eastAsia" w:ascii="楷体_GB2312" w:eastAsia="楷体_GB2312" w:cs="Times New Roman"/>
          <w:b/>
          <w:sz w:val="32"/>
          <w:szCs w:val="32"/>
        </w:rPr>
      </w:pPr>
      <w:r>
        <w:rPr>
          <w:rFonts w:ascii="Times New Roman" w:hAnsi="Times New Roman" w:eastAsia="仿宋_GB2312" w:cs="Times New Roman"/>
          <w:sz w:val="32"/>
          <w:szCs w:val="32"/>
        </w:rPr>
        <w:t>一是畅通信访渠道，及时受理办理群众来信、来访和网上投诉，不断提高初访办结率；二是维护群众合法利益，解决群众合理诉求，促进社会和谐稳定；三是积极推动信访积案有效化解；四是有效缓解信访突出问题，协助各乡镇妥善解决涉及农村土地征用、房屋拆迁等信访突出问题。</w:t>
      </w:r>
    </w:p>
    <w:p>
      <w:pPr>
        <w:numPr>
          <w:ilvl w:val="0"/>
          <w:numId w:val="2"/>
        </w:num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分项绩效目标</w:t>
      </w:r>
    </w:p>
    <w:p>
      <w:pPr>
        <w:autoSpaceDE w:val="0"/>
        <w:autoSpaceDN w:val="0"/>
        <w:adjustRightInd w:val="0"/>
        <w:spacing w:line="584" w:lineRule="exact"/>
        <w:ind w:left="198"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因项目涉密，不能说明分项绩效目标。</w:t>
      </w:r>
    </w:p>
    <w:p>
      <w:pPr>
        <w:numPr>
          <w:ilvl w:val="0"/>
          <w:numId w:val="2"/>
        </w:numPr>
        <w:spacing w:line="584" w:lineRule="exact"/>
        <w:ind w:left="0" w:leftChars="0"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工作保障措施</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实现本年度发展规划目标的保障措施。针对上级交办或转送的信访案件，按照“谁主管、谁负责”的原则，及时分类、归口、交办、适时调度，并要求责任单位认真调查、积极化解、按时上报，同时，对于群众来信，我们严格按照广阳区信访工作联席会议办公室《关于加强群众来信办理工作的通知》的要求办理，及时向责任单位交办，按时向信访人反馈结果。</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1、加强预算支出管理，完善制度，确保支出进度达标</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2、加强内部监督管理，确保资金安全有效</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局物资采购、工程项目等大额资金使用招投标的全过程监督，确保财政资金安全有效。</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3、加强宣传培训调研，确保绩效目标实现</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4、做好绩效自评工作</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对绩效自评高度重视，对相关的资料严格核实，确保实事求是。</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5、加强资产管理</w:t>
      </w:r>
    </w:p>
    <w:p>
      <w:pPr>
        <w:autoSpaceDE w:val="0"/>
        <w:autoSpaceDN w:val="0"/>
        <w:adjustRightInd w:val="0"/>
        <w:spacing w:line="584" w:lineRule="exact"/>
        <w:ind w:left="198" w:firstLine="640" w:firstLineChars="200"/>
        <w:jc w:val="left"/>
        <w:rPr>
          <w:rFonts w:hint="eastAsia" w:ascii="楷体_GB2312" w:eastAsia="楷体_GB2312" w:cs="Times New Roman"/>
          <w:b/>
          <w:sz w:val="32"/>
          <w:szCs w:val="32"/>
        </w:rPr>
      </w:pPr>
      <w:r>
        <w:rPr>
          <w:rFonts w:ascii="Times New Roman" w:hAnsi="Times New Roman" w:eastAsia="仿宋_GB2312" w:cs="Times New Roman"/>
          <w:sz w:val="32"/>
          <w:szCs w:val="32"/>
        </w:rPr>
        <w:t>对于单位的现有资产确保录入资产系统，按时记账折旧。</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信访事项受理数量</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年度受理2000件以上得10分，减少每20件扣1分。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接待群众来访、信件、网邮的数量</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件</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2021年</w:t>
            </w:r>
            <w:r>
              <w:rPr>
                <w:rFonts w:hint="eastAsia" w:ascii="仿宋_GB2312" w:hAnsi="仿宋_GB2312" w:eastAsia="仿宋_GB2312" w:cs="仿宋_GB2312"/>
                <w:sz w:val="21"/>
                <w:szCs w:val="21"/>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信访事项按期办结率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年度信访事项办结率大于等于80%得20分，每降低1个百分点扣2分。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畅通信访渠道，维护群众合法利益解决群众合理诉求，促进社会和谐稳定。实际办结案件数量占案件总数的比例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2021年</w:t>
            </w:r>
            <w:r>
              <w:rPr>
                <w:rFonts w:hint="eastAsia" w:ascii="仿宋_GB2312" w:hAnsi="仿宋_GB2312" w:eastAsia="仿宋_GB2312" w:cs="仿宋_GB2312"/>
                <w:sz w:val="21"/>
                <w:szCs w:val="21"/>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信访事项及时受理率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及时受理的信访事项占总事项的90%得20分，每降低1个百分点扣2分。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畅通信访渠道，提高信访事项办理质量和效率。实际及时受理案件数占应及时受理的案件数的比例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信访</w:t>
            </w:r>
            <w:r>
              <w:rPr>
                <w:rFonts w:hint="eastAsia" w:ascii="仿宋_GB2312" w:hAnsi="仿宋_GB2312" w:eastAsia="仿宋_GB2312" w:cs="仿宋_GB2312"/>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成本控制率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成本控制率小于等于100%得10分，每上升1个百分点扣2分。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项目实际支出与预算金额的比例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进京赴省信访事项劝返率提升率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及时劝返率较去年提高得15分，降低1个百分点扣2分。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进京赴省信访事项劝返率较全年提升的比例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2020年度非访登记表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全区信访下降率</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全区信访下降率大于等于0得15分，降低1个百分点扣2分。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全区信访比例较去年下降的比例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2021年工作计划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信访群众满意度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信访群众满意度大于等于95%得10分，每降低一个百分点扣2分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信访群众满意度</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0" w:firstLineChars="200"/>
        <w:outlineLvl w:val="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eastAsia="zh-CN"/>
        </w:rPr>
        <w:t>项目涉密不进行分项说明。</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hint="eastAsia" w:ascii="方正小标宋_GBK" w:eastAsia="方正小标宋_GBK" w:cs="Times New Roman"/>
          <w:sz w:val="32"/>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0"/>
      <w:bookmarkStart w:id="1"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outlineLvl w:val="1"/>
        <w:rPr>
          <w:rFonts w:ascii="方正小标宋_GBK" w:eastAsia="方正小标宋_GBK" w:cs="Times New Roman"/>
          <w:sz w:val="32"/>
        </w:rPr>
      </w:pPr>
      <w:r>
        <w:rPr>
          <w:rFonts w:hint="eastAsia"/>
          <w:lang w:val="en-US" w:eastAsia="zh-CN"/>
        </w:rPr>
        <w:t>287001</w:t>
      </w:r>
      <w:r>
        <w:t>廊坊市</w:t>
      </w:r>
      <w:r>
        <w:rPr>
          <w:rFonts w:hint="eastAsia"/>
          <w:lang w:eastAsia="zh-CN"/>
        </w:rPr>
        <w:t>广阳区信访局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广阳区信访局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87.22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广阳区信访局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87.22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1辆</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58.54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22EDE-9A23-4DFF-B82E-046900FA08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EB0552C3-619F-44B4-A1E6-6D73D4EE961B}"/>
  </w:font>
  <w:font w:name="仿宋_GB2312">
    <w:panose1 w:val="02010609030101010101"/>
    <w:charset w:val="86"/>
    <w:family w:val="modern"/>
    <w:pitch w:val="default"/>
    <w:sig w:usb0="00000001" w:usb1="080E0000" w:usb2="00000000" w:usb3="00000000" w:csb0="00040000" w:csb1="00000000"/>
    <w:embedRegular r:id="rId3" w:fontKey="{3603CCD2-90D4-4D76-81AC-17BC321E3FD9}"/>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1B25E"/>
    <w:multiLevelType w:val="singleLevel"/>
    <w:tmpl w:val="ACE1B25E"/>
    <w:lvl w:ilvl="0" w:tentative="0">
      <w:start w:val="2"/>
      <w:numFmt w:val="chineseCounting"/>
      <w:suff w:val="nothing"/>
      <w:lvlText w:val="（%1）"/>
      <w:lvlJc w:val="left"/>
      <w:rPr>
        <w:rFonts w:hint="eastAsia"/>
      </w:rPr>
    </w:lvl>
  </w:abstractNum>
  <w:abstractNum w:abstractNumId="1">
    <w:nsid w:val="3FD9CA89"/>
    <w:multiLevelType w:val="singleLevel"/>
    <w:tmpl w:val="3FD9CA8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116668A"/>
    <w:rsid w:val="0CE35EAE"/>
    <w:rsid w:val="0CEC1180"/>
    <w:rsid w:val="15716536"/>
    <w:rsid w:val="1C327BD2"/>
    <w:rsid w:val="1FC94697"/>
    <w:rsid w:val="3630184C"/>
    <w:rsid w:val="4879659F"/>
    <w:rsid w:val="62A1445C"/>
    <w:rsid w:val="6A29170F"/>
    <w:rsid w:val="73693C55"/>
    <w:rsid w:val="7B2E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9</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2023-08-01T06:40:42Z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0BC251680EE84F61AD2B14A3B85CEBD1</vt:lpwstr>
  </property>
</Properties>
</file>