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廊坊市广阳区人民代表大会常务委员会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广阳区人民代表大会常务委员会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根据《廊坊市广阳区人民代表大会常务委员会职能配置、内设机构和人员编制规定》，廊坊市广阳区人民代表大会常务委员会的主要职责是：</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廊坊市广阳区人民代表大会常务委员会是廊坊市广阳区人民代表大会的常设机关。依照宪法和地方组织法的规定，区人民代表大会常务委员会行使下列职权</w:t>
      </w:r>
      <w:r>
        <w:rPr>
          <w:rFonts w:ascii="Times New Roman" w:hAnsi="Times New Roman" w:eastAsia="仿宋_GB2312" w:cs="Times New Roman"/>
          <w:sz w:val="32"/>
          <w:szCs w:val="32"/>
        </w:rPr>
        <w:t>:</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在广阳区人民代表大会闭会期间，根据本行政区域的具体情况和实际需要，审议决定广阳区政治、经济、科学、教育、文化、卫生、环境与资源保护、民政、民族等工作的重大事项以及人民群众普遍关注和迫切要求解决的重大问题；在广阳区人民代表大会闭会期间，审查和批准国民经济和社会发展计划、预算在执行过程中所必须作的部分调整方案。</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（二）监督广阳区人民政府、广阳区监察委员会、广阳区人民法院、广阳区人民检察院的工作。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（三）撤销广阳区人民政府制定的同宪法、法律、法规相抵触的行政法规、决定和命令；撤销下一级国家权力机关制定的同宪法、法律和行政法规相抵触的决定和决议。</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在广阳区人民代表大会闭会期间，根据广阳区人民政府区长的提名，决定广阳区人民政府办公室主任、局长的人选；根据广阳区监察委员会主任提请，任免监察委员会副主任委员、委员；根据广阳区人民法院院长的提请，任免广阳区人民法院副院长、庭长、审判委员会委员、审判员；根据广阳区人民检察院检察长的提请，任免广阳区人民检察院副检察长、检察委员会委员、检察员。</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（五）审议决定常务委员会认为应当依法审议、决定的其他重大事项。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廊坊市广阳区人民代表大会常务委员会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广阳区人民代表大会常务委员会</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1304.29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1304.29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广阳区人民代表大会常务委员会2022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1304.29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1184.29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1022.52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161.77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120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1304.29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138.34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130.34</w:t>
      </w:r>
      <w:r>
        <w:rPr>
          <w:rFonts w:ascii="Times New Roman" w:hAnsi="Times New Roman" w:eastAsia="仿宋_GB2312" w:cs="Times New Roman"/>
          <w:sz w:val="32"/>
          <w:szCs w:val="32"/>
        </w:rPr>
        <w:t>万元，主要为</w:t>
      </w:r>
      <w:r>
        <w:rPr>
          <w:rFonts w:hint="eastAsia" w:ascii="仿宋_GB2312" w:hAnsi="Times New Roman" w:eastAsia="仿宋_GB2312" w:cs="仿宋_GB2312"/>
          <w:sz w:val="32"/>
          <w:szCs w:val="32"/>
        </w:rPr>
        <w:t>人员类项目经费支出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建设代表联络站经费</w:t>
      </w:r>
      <w:r>
        <w:rPr>
          <w:rFonts w:hint="eastAsia" w:ascii="Times New Roman" w:hAnsi="Times New Roman" w:eastAsia="仿宋_GB2312"/>
          <w:sz w:val="32"/>
          <w:szCs w:val="32"/>
        </w:rPr>
        <w:t>项目增加支出</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161.77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廊坊市广阳区人民代表大会常务委员会</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37.26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28.5</w:t>
      </w:r>
      <w:r>
        <w:rPr>
          <w:rFonts w:ascii="Times New Roman" w:hAnsi="Times New Roman" w:eastAsia="仿宋_GB2312" w:cs="Times New Roman"/>
          <w:sz w:val="32"/>
          <w:szCs w:val="32"/>
        </w:rPr>
        <w:t>万元。</w:t>
      </w:r>
      <w:r>
        <w:rPr>
          <w:rFonts w:hint="eastAsia" w:ascii="仿宋_GB2312" w:hAnsi="Times New Roman" w:eastAsia="仿宋_GB2312" w:cs="仿宋_GB2312"/>
          <w:sz w:val="32"/>
          <w:szCs w:val="32"/>
        </w:rPr>
        <w:t>与</w:t>
      </w:r>
      <w:r>
        <w:rPr>
          <w:rFonts w:ascii="仿宋_GB2312" w:hAnsi="Times New Roman" w:eastAsia="仿宋_GB2312" w:cs="仿宋_GB2312"/>
          <w:sz w:val="32"/>
          <w:szCs w:val="32"/>
        </w:rPr>
        <w:t>202</w:t>
      </w:r>
      <w:r>
        <w:rPr>
          <w:rFonts w:hint="eastAsia" w:ascii="仿宋_GB2312" w:hAnsi="Times New Roman" w:eastAsia="仿宋_GB2312" w:cs="仿宋_GB2312"/>
          <w:sz w:val="32"/>
          <w:szCs w:val="32"/>
        </w:rPr>
        <w:t>1年相比持平，</w:t>
      </w:r>
      <w:r>
        <w:rPr>
          <w:rFonts w:hint="eastAsia" w:ascii="仿宋_GB2312" w:hAnsi="Times New Roman" w:eastAsia="仿宋_GB2312" w:cs="仿宋_GB2312"/>
          <w:color w:val="000000"/>
          <w:sz w:val="32"/>
          <w:szCs w:val="32"/>
        </w:rPr>
        <w:t>无增减变化。</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rPr>
          <w:rFonts w:ascii="仿宋_GB2312" w:eastAsia="仿宋_GB2312" w:cs="仿宋_GB2312"/>
          <w:sz w:val="32"/>
          <w:szCs w:val="32"/>
        </w:rPr>
      </w:pPr>
      <w:r>
        <w:rPr>
          <w:rFonts w:hint="eastAsia" w:ascii="仿宋_GB2312" w:eastAsia="仿宋_GB2312" w:cs="仿宋_GB2312"/>
          <w:sz w:val="32"/>
          <w:szCs w:val="32"/>
        </w:rPr>
        <w:t>1、保障廊坊市广阳区人民代表大会常务委员会各项工作顺利开展，保障廊坊市广阳区人民代表大会常务委员会完成上级布置的各项工作，实现工作高效规范开展，提高服务质量。</w:t>
      </w:r>
    </w:p>
    <w:p>
      <w:pPr>
        <w:pStyle w:val="19"/>
        <w:rPr>
          <w:rFonts w:ascii="仿宋_GB2312" w:eastAsia="仿宋_GB2312" w:cs="仿宋_GB2312"/>
          <w:sz w:val="32"/>
          <w:szCs w:val="32"/>
        </w:rPr>
      </w:pPr>
      <w:r>
        <w:rPr>
          <w:rFonts w:hint="eastAsia" w:ascii="仿宋_GB2312" w:eastAsia="仿宋_GB2312" w:cs="仿宋_GB2312"/>
          <w:sz w:val="32"/>
          <w:szCs w:val="32"/>
        </w:rPr>
        <w:t>2、完善各项会议制度，规范会议程序，提高会议质量，提高人大代表履职水平。</w:t>
      </w:r>
    </w:p>
    <w:p>
      <w:pPr>
        <w:pStyle w:val="19"/>
        <w:rPr>
          <w:rFonts w:ascii="仿宋_GB2312" w:eastAsia="仿宋_GB2312" w:cs="仿宋_GB2312"/>
          <w:sz w:val="32"/>
          <w:szCs w:val="32"/>
        </w:rPr>
      </w:pPr>
      <w:r>
        <w:rPr>
          <w:rFonts w:hint="eastAsia" w:ascii="仿宋_GB2312" w:eastAsia="仿宋_GB2312" w:cs="仿宋_GB2312"/>
          <w:sz w:val="32"/>
          <w:szCs w:val="32"/>
        </w:rPr>
        <w:t>3、加强人员培训，加大宣传力度，强化预算绩效管理意识，促进预算绩效管理水平提升。</w:t>
      </w:r>
    </w:p>
    <w:p>
      <w:pPr>
        <w:pStyle w:val="19"/>
        <w:rPr>
          <w:rFonts w:ascii="仿宋_GB2312" w:eastAsia="仿宋_GB2312" w:cs="仿宋_GB2312"/>
          <w:sz w:val="32"/>
          <w:szCs w:val="32"/>
        </w:rPr>
      </w:pPr>
      <w:r>
        <w:rPr>
          <w:rFonts w:hint="eastAsia" w:ascii="仿宋_GB2312" w:eastAsia="仿宋_GB2312" w:cs="仿宋_GB2312"/>
          <w:sz w:val="32"/>
          <w:szCs w:val="32"/>
        </w:rPr>
        <w:t>4、通过人大代表联络站履职平台，为代表履职，体察民情，反映民意，关注人民群众普遍关心的热点难点问题，推进联络站工作开展活动，提出建议、批评和意见，监督促进“一府一委两院”推行工作发挥履职平台的优势和作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rPr>
          <w:rFonts w:ascii="仿宋_GB2312" w:eastAsia="仿宋_GB2312" w:cs="仿宋_GB2312"/>
          <w:sz w:val="32"/>
          <w:szCs w:val="32"/>
        </w:rPr>
      </w:pPr>
      <w:r>
        <w:rPr>
          <w:rFonts w:hint="eastAsia" w:ascii="仿宋_GB2312" w:eastAsia="仿宋_GB2312" w:cs="仿宋_GB2312"/>
          <w:sz w:val="32"/>
          <w:szCs w:val="32"/>
        </w:rPr>
        <w:t>1、政务管理经费</w:t>
      </w:r>
    </w:p>
    <w:p>
      <w:pPr>
        <w:pStyle w:val="20"/>
        <w:rPr>
          <w:rFonts w:ascii="仿宋_GB2312" w:eastAsia="仿宋_GB2312" w:cs="仿宋_GB2312"/>
          <w:sz w:val="32"/>
          <w:szCs w:val="32"/>
        </w:rPr>
      </w:pPr>
      <w:r>
        <w:rPr>
          <w:rFonts w:hint="eastAsia" w:ascii="仿宋_GB2312" w:eastAsia="仿宋_GB2312" w:cs="仿宋_GB2312"/>
          <w:sz w:val="32"/>
          <w:szCs w:val="32"/>
        </w:rPr>
        <w:t>绩效目标：保障廊坊市广阳区人民代表大会常务委员会各项工作顺利开展，保障廊坊市广阳区人民代表大会常务委员会完成上级布置的各项工作，实现工作高效规范开展，提高服务质量。</w:t>
      </w:r>
    </w:p>
    <w:p>
      <w:pPr>
        <w:pStyle w:val="20"/>
        <w:rPr>
          <w:rFonts w:ascii="仿宋_GB2312" w:eastAsia="仿宋_GB2312" w:cs="仿宋_GB2312"/>
          <w:sz w:val="32"/>
          <w:szCs w:val="32"/>
        </w:rPr>
      </w:pPr>
      <w:r>
        <w:rPr>
          <w:rFonts w:hint="eastAsia" w:ascii="仿宋_GB2312" w:eastAsia="仿宋_GB2312" w:cs="仿宋_GB2312"/>
          <w:sz w:val="32"/>
          <w:szCs w:val="32"/>
        </w:rPr>
        <w:t>绩效指标：数量指标：采购能满足实际办公需求的物品及设备数量</w:t>
      </w:r>
    </w:p>
    <w:p>
      <w:pPr>
        <w:pStyle w:val="20"/>
        <w:rPr>
          <w:rFonts w:ascii="仿宋_GB2312" w:eastAsia="仿宋_GB2312" w:cs="仿宋_GB2312"/>
          <w:sz w:val="32"/>
          <w:szCs w:val="32"/>
        </w:rPr>
      </w:pPr>
      <w:r>
        <w:rPr>
          <w:rFonts w:hint="eastAsia" w:ascii="仿宋_GB2312" w:eastAsia="仿宋_GB2312" w:cs="仿宋_GB2312"/>
          <w:sz w:val="32"/>
          <w:szCs w:val="32"/>
        </w:rPr>
        <w:t>质量指标：采购质量合格率=100%；时效指标：准确及时完成=100%；成本指标：项目实际支出金额与预算金额的比例≤100%；社会效益指标：设备利用率占投用使用设备的比例=100%；服务对象满意度指标：服务对象满意度人数占总人数的比例≥90%。</w:t>
      </w:r>
    </w:p>
    <w:p>
      <w:pPr>
        <w:pStyle w:val="20"/>
        <w:rPr>
          <w:rFonts w:ascii="仿宋_GB2312" w:eastAsia="仿宋_GB2312" w:cs="仿宋_GB2312"/>
          <w:sz w:val="32"/>
          <w:szCs w:val="32"/>
        </w:rPr>
      </w:pPr>
      <w:r>
        <w:rPr>
          <w:rFonts w:hint="eastAsia" w:ascii="仿宋_GB2312" w:eastAsia="仿宋_GB2312" w:cs="仿宋_GB2312"/>
          <w:sz w:val="32"/>
          <w:szCs w:val="32"/>
        </w:rPr>
        <w:t>2、第六届人民代表大会第二次会议经费</w:t>
      </w:r>
    </w:p>
    <w:p>
      <w:pPr>
        <w:pStyle w:val="20"/>
        <w:rPr>
          <w:rFonts w:ascii="仿宋_GB2312" w:eastAsia="仿宋_GB2312" w:cs="仿宋_GB2312"/>
          <w:sz w:val="32"/>
          <w:szCs w:val="32"/>
        </w:rPr>
      </w:pPr>
      <w:r>
        <w:rPr>
          <w:rFonts w:hint="eastAsia" w:ascii="仿宋_GB2312" w:eastAsia="仿宋_GB2312" w:cs="仿宋_GB2312"/>
          <w:sz w:val="32"/>
          <w:szCs w:val="32"/>
        </w:rPr>
        <w:t>绩效目标：完善各项会议制度，规范会议程序，提高会议质量，提高人大代表履职水平。</w:t>
      </w:r>
      <w:r>
        <w:rPr>
          <w:rFonts w:hint="eastAsia" w:ascii="仿宋_GB2312" w:eastAsia="仿宋_GB2312" w:cs="仿宋_GB2312"/>
          <w:sz w:val="32"/>
          <w:szCs w:val="32"/>
        </w:rPr>
        <w:tab/>
      </w:r>
      <w:r>
        <w:rPr>
          <w:rFonts w:hint="eastAsia" w:ascii="仿宋_GB2312" w:eastAsia="仿宋_GB2312" w:cs="仿宋_GB2312"/>
          <w:sz w:val="32"/>
          <w:szCs w:val="32"/>
        </w:rPr>
        <w:tab/>
      </w:r>
    </w:p>
    <w:p>
      <w:pPr>
        <w:pStyle w:val="20"/>
        <w:rPr>
          <w:rFonts w:ascii="仿宋_GB2312" w:eastAsia="仿宋_GB2312" w:cs="仿宋_GB2312"/>
          <w:sz w:val="32"/>
          <w:szCs w:val="32"/>
        </w:rPr>
      </w:pPr>
      <w:r>
        <w:rPr>
          <w:rFonts w:hint="eastAsia" w:ascii="仿宋_GB2312" w:eastAsia="仿宋_GB2312" w:cs="仿宋_GB2312"/>
          <w:sz w:val="32"/>
          <w:szCs w:val="32"/>
        </w:rPr>
        <w:t>绩效指标：数量指标召开会议数量</w:t>
      </w:r>
      <w:r>
        <w:rPr>
          <w:rFonts w:hint="eastAsia" w:ascii="仿宋_GB2312" w:eastAsia="仿宋_GB2312" w:cs="仿宋_GB2312"/>
          <w:sz w:val="32"/>
          <w:szCs w:val="32"/>
        </w:rPr>
        <w:tab/>
      </w:r>
      <w:r>
        <w:rPr>
          <w:rFonts w:hint="eastAsia" w:ascii="仿宋_GB2312" w:eastAsia="仿宋_GB2312" w:cs="仿宋_GB2312"/>
          <w:sz w:val="32"/>
          <w:szCs w:val="32"/>
        </w:rPr>
        <w:t>1次；质量指标会议各项任务完成情况圆满完成；时效指标及时开展会议的次数与文件要求开展会议次数的比例=100%；成本指标项目实际支出金额与预算金额的比例≤</w:t>
      </w:r>
      <w:r>
        <w:rPr>
          <w:rFonts w:hint="eastAsia" w:ascii="仿宋_GB2312" w:eastAsia="仿宋_GB2312" w:cs="仿宋_GB2312"/>
          <w:sz w:val="32"/>
          <w:szCs w:val="32"/>
        </w:rPr>
        <w:tab/>
      </w:r>
      <w:r>
        <w:rPr>
          <w:rFonts w:hint="eastAsia" w:ascii="仿宋_GB2312" w:eastAsia="仿宋_GB2312" w:cs="仿宋_GB2312"/>
          <w:sz w:val="32"/>
          <w:szCs w:val="32"/>
        </w:rPr>
        <w:t>100%；社会效益指标</w:t>
      </w:r>
      <w:r>
        <w:rPr>
          <w:rFonts w:hint="eastAsia" w:ascii="仿宋_GB2312" w:eastAsia="仿宋_GB2312" w:cs="仿宋_GB2312"/>
          <w:sz w:val="32"/>
          <w:szCs w:val="32"/>
        </w:rPr>
        <w:tab/>
      </w:r>
      <w:r>
        <w:rPr>
          <w:rFonts w:hint="eastAsia" w:ascii="仿宋_GB2312" w:eastAsia="仿宋_GB2312" w:cs="仿宋_GB2312"/>
          <w:sz w:val="32"/>
          <w:szCs w:val="32"/>
        </w:rPr>
        <w:t>参会人员业务提升情况有效提升；服务对象满意度指标人大代表满意人数占全部代表的比例≥95.00%。</w:t>
      </w:r>
    </w:p>
    <w:p>
      <w:pPr>
        <w:pStyle w:val="20"/>
        <w:rPr>
          <w:rFonts w:ascii="仿宋_GB2312" w:eastAsia="仿宋_GB2312" w:cs="仿宋_GB2312"/>
          <w:sz w:val="32"/>
          <w:szCs w:val="32"/>
        </w:rPr>
      </w:pPr>
      <w:r>
        <w:rPr>
          <w:rFonts w:hint="eastAsia" w:ascii="仿宋_GB2312" w:eastAsia="仿宋_GB2312" w:cs="仿宋_GB2312"/>
          <w:sz w:val="32"/>
          <w:szCs w:val="32"/>
        </w:rPr>
        <w:t>3、学习培训经费</w:t>
      </w:r>
    </w:p>
    <w:p>
      <w:pPr>
        <w:pStyle w:val="20"/>
        <w:jc w:val="both"/>
        <w:rPr>
          <w:rFonts w:ascii="仿宋_GB2312" w:eastAsia="仿宋_GB2312" w:cs="仿宋_GB2312"/>
          <w:sz w:val="32"/>
          <w:szCs w:val="32"/>
        </w:rPr>
      </w:pPr>
      <w:r>
        <w:rPr>
          <w:rFonts w:hint="eastAsia" w:ascii="仿宋_GB2312" w:eastAsia="仿宋_GB2312" w:cs="仿宋_GB2312"/>
          <w:sz w:val="32"/>
          <w:szCs w:val="32"/>
        </w:rPr>
        <w:t>绩效目标：加强人员培训，加大宣传力度，强化预算绩效管理意识，促进预算绩效管理水平提升。</w:t>
      </w:r>
      <w:r>
        <w:rPr>
          <w:rFonts w:hint="eastAsia" w:ascii="仿宋_GB2312" w:eastAsia="仿宋_GB2312" w:cs="仿宋_GB2312"/>
          <w:sz w:val="32"/>
          <w:szCs w:val="32"/>
        </w:rPr>
        <w:tab/>
      </w:r>
      <w:r>
        <w:rPr>
          <w:rFonts w:hint="eastAsia" w:ascii="仿宋_GB2312" w:eastAsia="仿宋_GB2312" w:cs="仿宋_GB2312"/>
          <w:sz w:val="32"/>
          <w:szCs w:val="32"/>
        </w:rPr>
        <w:t>绩效指标：数量指标代表培训人数占全部人数的比例=100%；质量指标培训质量达标人数占总人数的比例</w:t>
      </w:r>
      <w:r>
        <w:rPr>
          <w:rFonts w:hint="eastAsia" w:ascii="仿宋_GB2312" w:eastAsia="仿宋_GB2312" w:cs="仿宋_GB2312"/>
          <w:sz w:val="32"/>
          <w:szCs w:val="32"/>
        </w:rPr>
        <w:tab/>
      </w:r>
      <w:r>
        <w:rPr>
          <w:rFonts w:hint="eastAsia" w:ascii="仿宋_GB2312" w:eastAsia="仿宋_GB2312" w:cs="仿宋_GB2312"/>
          <w:sz w:val="32"/>
          <w:szCs w:val="32"/>
        </w:rPr>
        <w:t>=100%；时效指标及时培训的次数与计划开展培训次数的比例=100%；成本指标培训费支付标准（二类）≤450.00元/人/天；社会效益指标将培训精神和要求传达到位，推动工作开展部署学习、培训要求、推动工作开展、达到预期要求；服务对象满意度指标培训代表满意人数占全部培训代表的人数的比例≥90%。</w:t>
      </w:r>
    </w:p>
    <w:p>
      <w:pPr>
        <w:pStyle w:val="20"/>
        <w:rPr>
          <w:rFonts w:ascii="仿宋_GB2312" w:eastAsia="仿宋_GB2312" w:cs="仿宋_GB2312"/>
          <w:sz w:val="32"/>
          <w:szCs w:val="32"/>
        </w:rPr>
      </w:pPr>
      <w:r>
        <w:rPr>
          <w:rFonts w:hint="eastAsia" w:ascii="仿宋_GB2312" w:eastAsia="仿宋_GB2312" w:cs="仿宋_GB2312"/>
          <w:sz w:val="32"/>
          <w:szCs w:val="32"/>
        </w:rPr>
        <w:t>4、建设代表联络站经费</w:t>
      </w:r>
    </w:p>
    <w:p>
      <w:pPr>
        <w:pStyle w:val="20"/>
        <w:rPr>
          <w:rFonts w:ascii="仿宋_GB2312" w:eastAsia="仿宋_GB2312" w:cs="仿宋_GB2312"/>
          <w:sz w:val="32"/>
          <w:szCs w:val="32"/>
        </w:rPr>
      </w:pPr>
      <w:r>
        <w:rPr>
          <w:rFonts w:hint="eastAsia" w:ascii="仿宋_GB2312" w:eastAsia="仿宋_GB2312" w:cs="仿宋_GB2312"/>
          <w:sz w:val="32"/>
          <w:szCs w:val="32"/>
        </w:rPr>
        <w:t>绩效目标：通过人大代表联络站履职平台，为代表履职，体察民情，反映民意，关注人民群众普遍关心的热点难点问题，推进联络站工作开展活动，提出建议、批评和意见，监督促进“一府一委两院”推行工作发挥履职平台的优势和作用。</w:t>
      </w:r>
    </w:p>
    <w:p>
      <w:pPr>
        <w:spacing w:line="584"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绩效指标：数量指标实际工作计划占全年总计划的比重≥95.00%；质量指标</w:t>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采购质量合格率=100%；时效指标完成时间2022年12月底；成本指标所有支出不超过预算安排≤15万元；社会效益指标建设利用率占投用使用的比例≥95.00%；服务对象满意度指标服服务对象满意度人数占总人数的比例≥95.00%</w:t>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ab/>
      </w:r>
      <w:r>
        <w:rPr>
          <w:rFonts w:hint="eastAsia" w:ascii="仿宋_GB2312" w:hAnsi="Times New Roman" w:eastAsia="仿宋_GB2312" w:cs="仿宋_GB2312"/>
          <w:sz w:val="32"/>
          <w:szCs w:val="32"/>
        </w:rPr>
        <w:tab/>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rPr>
          <w:rFonts w:ascii="仿宋_GB2312" w:eastAsia="仿宋_GB2312" w:cs="仿宋_GB2312"/>
          <w:sz w:val="32"/>
          <w:szCs w:val="32"/>
        </w:rPr>
      </w:pPr>
      <w:r>
        <w:rPr>
          <w:rFonts w:hint="eastAsia" w:ascii="仿宋_GB2312" w:eastAsia="仿宋_GB2312" w:cs="仿宋_GB2312"/>
          <w:sz w:val="32"/>
          <w:szCs w:val="32"/>
        </w:rPr>
        <w:t>1、加强制度建设。建立健全机关预算绩效管理制度，为全年预算绩效目标的实现奠定制度基础。</w:t>
      </w:r>
    </w:p>
    <w:p>
      <w:pPr>
        <w:pStyle w:val="21"/>
        <w:rPr>
          <w:rFonts w:ascii="仿宋_GB2312" w:eastAsia="仿宋_GB2312" w:cs="仿宋_GB2312"/>
          <w:sz w:val="32"/>
          <w:szCs w:val="32"/>
        </w:rPr>
      </w:pPr>
      <w:r>
        <w:rPr>
          <w:rFonts w:hint="eastAsia" w:ascii="仿宋_GB2312" w:eastAsia="仿宋_GB2312" w:cs="仿宋_GB2312"/>
          <w:sz w:val="32"/>
          <w:szCs w:val="32"/>
        </w:rPr>
        <w:t>2、加强支出管理。加强支出管理，确保资金按照标准、进度及时拨付。</w:t>
      </w:r>
    </w:p>
    <w:p>
      <w:pPr>
        <w:pStyle w:val="21"/>
        <w:rPr>
          <w:rFonts w:ascii="仿宋_GB2312" w:eastAsia="仿宋_GB2312" w:cs="仿宋_GB2312"/>
          <w:sz w:val="32"/>
          <w:szCs w:val="32"/>
        </w:rPr>
      </w:pPr>
      <w:r>
        <w:rPr>
          <w:rFonts w:hint="eastAsia" w:ascii="仿宋_GB2312" w:eastAsia="仿宋_GB2312" w:cs="仿宋_GB2312"/>
          <w:sz w:val="32"/>
          <w:szCs w:val="32"/>
        </w:rPr>
        <w:t>3、加强绩效监控。积极开展绩效运行监控，发现问题及时采取措施，确保绩效目标如期保质实现。</w:t>
      </w:r>
    </w:p>
    <w:p>
      <w:pPr>
        <w:pStyle w:val="21"/>
        <w:rPr>
          <w:rFonts w:ascii="仿宋_GB2312" w:eastAsia="仿宋_GB2312" w:cs="仿宋_GB2312"/>
          <w:sz w:val="32"/>
          <w:szCs w:val="32"/>
        </w:rPr>
      </w:pPr>
      <w:r>
        <w:rPr>
          <w:rFonts w:hint="eastAsia" w:ascii="仿宋_GB2312" w:eastAsia="仿宋_GB2312" w:cs="仿宋_GB2312"/>
          <w:sz w:val="32"/>
          <w:szCs w:val="32"/>
        </w:rPr>
        <w:t>4、做好绩效自评。按要求开展</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预算绩效自评和重点项目评价工作，对评价中发现的问题及时整改。</w:t>
      </w:r>
    </w:p>
    <w:p>
      <w:pPr>
        <w:pStyle w:val="21"/>
        <w:rPr>
          <w:rFonts w:ascii="仿宋_GB2312" w:eastAsia="仿宋_GB2312" w:cs="仿宋_GB2312"/>
          <w:sz w:val="32"/>
          <w:szCs w:val="32"/>
        </w:rPr>
      </w:pPr>
      <w:r>
        <w:rPr>
          <w:rFonts w:hint="eastAsia" w:ascii="仿宋_GB2312" w:eastAsia="仿宋_GB2312" w:cs="仿宋_GB2312"/>
          <w:sz w:val="32"/>
          <w:szCs w:val="32"/>
        </w:rPr>
        <w:t>5、规范财务管理。进一步完善财务管理制度，通过科学编制预算、优化支出结构、加快政府采购、加快项目建设、及时拨付资金，确保经费支出进度达到规定标准。</w:t>
      </w:r>
    </w:p>
    <w:p>
      <w:pPr>
        <w:pStyle w:val="21"/>
        <w:rPr>
          <w:rFonts w:ascii="仿宋_GB2312" w:eastAsia="仿宋_GB2312" w:cs="仿宋_GB2312"/>
          <w:sz w:val="32"/>
          <w:szCs w:val="32"/>
        </w:rPr>
      </w:pPr>
      <w:r>
        <w:rPr>
          <w:rFonts w:hint="eastAsia" w:ascii="仿宋_GB2312" w:eastAsia="仿宋_GB2312" w:cs="仿宋_GB2312"/>
          <w:sz w:val="32"/>
          <w:szCs w:val="32"/>
        </w:rPr>
        <w:t>6、加强内部监督。加强内部监督制度建设，对绩效运行、重大支出事项、资产处置及其他重要经济业务事项决策和执行进行监督，定期开展财务内部审计，确保财政资金使用安全合规。</w:t>
      </w:r>
    </w:p>
    <w:p>
      <w:pPr>
        <w:pStyle w:val="21"/>
        <w:rPr>
          <w:rFonts w:ascii="楷体_GB2312" w:eastAsia="楷体_GB2312"/>
          <w:b/>
          <w:sz w:val="32"/>
          <w:szCs w:val="32"/>
        </w:rPr>
      </w:pPr>
      <w:r>
        <w:rPr>
          <w:rFonts w:hint="eastAsia" w:ascii="仿宋_GB2312" w:eastAsia="仿宋_GB2312" w:cs="仿宋_GB2312"/>
          <w:sz w:val="32"/>
          <w:szCs w:val="32"/>
        </w:rPr>
        <w:t>7、加强宣传培训。加强人员培训，加大宣传力度，强化预算绩效管理意识，促进预算绩效管理水平提升。</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36"/>
        <w:gridCol w:w="940"/>
        <w:gridCol w:w="1899"/>
        <w:gridCol w:w="3801"/>
        <w:gridCol w:w="2500"/>
        <w:gridCol w:w="953"/>
        <w:gridCol w:w="953"/>
        <w:gridCol w:w="774"/>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70"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一级</w:t>
            </w:r>
            <w:r>
              <w:rPr>
                <w:rFonts w:ascii="Times New Roman" w:hAnsi="Times New Roman" w:eastAsia="仿宋_GB2312" w:cs="Times New Roman"/>
                <w:b/>
              </w:rPr>
              <w:t>指</w:t>
            </w:r>
            <w:r>
              <w:rPr>
                <w:rFonts w:ascii="方正书宋_GBK" w:eastAsia="方正书宋_GBK"/>
                <w:b/>
              </w:rPr>
              <w:t>标</w:t>
            </w:r>
          </w:p>
        </w:tc>
        <w:tc>
          <w:tcPr>
            <w:tcW w:w="336"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二级</w:t>
            </w:r>
          </w:p>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指标</w:t>
            </w:r>
          </w:p>
        </w:tc>
        <w:tc>
          <w:tcPr>
            <w:tcW w:w="679"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三级</w:t>
            </w:r>
          </w:p>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指标</w:t>
            </w:r>
          </w:p>
        </w:tc>
        <w:tc>
          <w:tcPr>
            <w:tcW w:w="1360"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评（扣）分标准</w:t>
            </w:r>
          </w:p>
        </w:tc>
        <w:tc>
          <w:tcPr>
            <w:tcW w:w="894"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绩效指标</w:t>
            </w:r>
          </w:p>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描述</w:t>
            </w:r>
          </w:p>
        </w:tc>
        <w:tc>
          <w:tcPr>
            <w:tcW w:w="959" w:type="pct"/>
            <w:gridSpan w:val="3"/>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指标值</w:t>
            </w:r>
          </w:p>
        </w:tc>
        <w:tc>
          <w:tcPr>
            <w:tcW w:w="399"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指标值</w:t>
            </w:r>
          </w:p>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70"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336"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679"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1360"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894"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341"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符号</w:t>
            </w:r>
          </w:p>
        </w:tc>
        <w:tc>
          <w:tcPr>
            <w:tcW w:w="341"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值</w:t>
            </w:r>
          </w:p>
        </w:tc>
        <w:tc>
          <w:tcPr>
            <w:tcW w:w="27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b/>
              </w:rPr>
            </w:pPr>
            <w:r>
              <w:rPr>
                <w:rFonts w:ascii="方正书宋_GBK" w:eastAsia="方正书宋_GBK"/>
                <w:b/>
              </w:rPr>
              <w:t>单位</w:t>
            </w:r>
          </w:p>
        </w:tc>
        <w:tc>
          <w:tcPr>
            <w:tcW w:w="399"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370" w:type="pct"/>
            <w:vMerge w:val="restar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33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数量</w:t>
            </w:r>
          </w:p>
        </w:tc>
        <w:tc>
          <w:tcPr>
            <w:tcW w:w="67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召开会议数量</w:t>
            </w:r>
          </w:p>
        </w:tc>
        <w:tc>
          <w:tcPr>
            <w:tcW w:w="1360"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按照计划召开会议得20分，未按计划召开不得分</w:t>
            </w:r>
          </w:p>
        </w:tc>
        <w:tc>
          <w:tcPr>
            <w:tcW w:w="894" w:type="pct"/>
            <w:tcBorders>
              <w:tl2br w:val="nil"/>
              <w:tr2bl w:val="nil"/>
            </w:tcBorders>
            <w:vAlign w:val="center"/>
          </w:tcPr>
          <w:p>
            <w:pPr>
              <w:keepNext w:val="0"/>
              <w:keepLines w:val="0"/>
              <w:pageBreakBefore w:val="0"/>
              <w:kinsoku/>
              <w:wordWrap/>
              <w:overflowPunct/>
              <w:topLinePunct w:val="0"/>
              <w:autoSpaceDE w:val="0"/>
              <w:autoSpaceDN w:val="0"/>
              <w:bidi w:val="0"/>
              <w:adjustRightInd w:val="0"/>
              <w:jc w:val="both"/>
              <w:textAlignment w:val="auto"/>
              <w:rPr>
                <w:rFonts w:ascii="Times New Roman" w:hAnsi="Times New Roman" w:eastAsia="仿宋_GB2312" w:cs="Times New Roman"/>
              </w:rPr>
            </w:pPr>
            <w:r>
              <w:rPr>
                <w:rFonts w:ascii="Times New Roman" w:hAnsi="Times New Roman" w:eastAsia="仿宋_GB2312" w:cs="Times New Roman"/>
              </w:rPr>
              <w:t>召开会议数量</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1</w:t>
            </w:r>
          </w:p>
        </w:tc>
        <w:tc>
          <w:tcPr>
            <w:tcW w:w="276"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次</w:t>
            </w:r>
          </w:p>
        </w:tc>
        <w:tc>
          <w:tcPr>
            <w:tcW w:w="399"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70"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33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质量</w:t>
            </w:r>
          </w:p>
        </w:tc>
        <w:tc>
          <w:tcPr>
            <w:tcW w:w="67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会议活动完成率</w:t>
            </w:r>
          </w:p>
        </w:tc>
        <w:tc>
          <w:tcPr>
            <w:tcW w:w="1360"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达到指标得20分，未达到按照一定比例扣分</w:t>
            </w:r>
          </w:p>
        </w:tc>
        <w:tc>
          <w:tcPr>
            <w:tcW w:w="894" w:type="pct"/>
            <w:tcBorders>
              <w:tl2br w:val="nil"/>
              <w:tr2bl w:val="nil"/>
            </w:tcBorders>
            <w:vAlign w:val="center"/>
          </w:tcPr>
          <w:p>
            <w:pPr>
              <w:keepNext w:val="0"/>
              <w:keepLines w:val="0"/>
              <w:pageBreakBefore w:val="0"/>
              <w:kinsoku/>
              <w:wordWrap/>
              <w:overflowPunct/>
              <w:topLinePunct w:val="0"/>
              <w:autoSpaceDE w:val="0"/>
              <w:autoSpaceDN w:val="0"/>
              <w:bidi w:val="0"/>
              <w:adjustRightInd w:val="0"/>
              <w:jc w:val="both"/>
              <w:textAlignment w:val="auto"/>
              <w:rPr>
                <w:rFonts w:ascii="Times New Roman" w:hAnsi="Times New Roman" w:eastAsia="仿宋_GB2312" w:cs="Times New Roman"/>
              </w:rPr>
            </w:pPr>
            <w:r>
              <w:rPr>
                <w:rFonts w:ascii="Times New Roman" w:hAnsi="Times New Roman" w:eastAsia="仿宋_GB2312" w:cs="Times New Roman"/>
              </w:rPr>
              <w:t>会议活动完成情况占全部会议的比例</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90</w:t>
            </w:r>
          </w:p>
        </w:tc>
        <w:tc>
          <w:tcPr>
            <w:tcW w:w="276"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99"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区人大常委会工作要点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370"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33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时效</w:t>
            </w:r>
          </w:p>
        </w:tc>
        <w:tc>
          <w:tcPr>
            <w:tcW w:w="67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开展培训及时率</w:t>
            </w:r>
          </w:p>
        </w:tc>
        <w:tc>
          <w:tcPr>
            <w:tcW w:w="1360"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及时率达到100%得15分，及时率每降低1%扣5%的分值。</w:t>
            </w:r>
          </w:p>
        </w:tc>
        <w:tc>
          <w:tcPr>
            <w:tcW w:w="894" w:type="pct"/>
            <w:tcBorders>
              <w:tl2br w:val="nil"/>
              <w:tr2bl w:val="nil"/>
            </w:tcBorders>
            <w:vAlign w:val="center"/>
          </w:tcPr>
          <w:p>
            <w:pPr>
              <w:keepNext w:val="0"/>
              <w:keepLines w:val="0"/>
              <w:pageBreakBefore w:val="0"/>
              <w:kinsoku/>
              <w:wordWrap/>
              <w:overflowPunct/>
              <w:topLinePunct w:val="0"/>
              <w:autoSpaceDE w:val="0"/>
              <w:autoSpaceDN w:val="0"/>
              <w:bidi w:val="0"/>
              <w:adjustRightInd w:val="0"/>
              <w:jc w:val="both"/>
              <w:textAlignment w:val="auto"/>
              <w:rPr>
                <w:rFonts w:ascii="Times New Roman" w:hAnsi="Times New Roman" w:eastAsia="仿宋_GB2312" w:cs="Times New Roman"/>
              </w:rPr>
            </w:pPr>
            <w:r>
              <w:rPr>
                <w:rFonts w:ascii="Times New Roman" w:hAnsi="Times New Roman" w:eastAsia="仿宋_GB2312" w:cs="Times New Roman"/>
              </w:rPr>
              <w:t>及时培训的次数与计划开展培训次数的比例</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100</w:t>
            </w:r>
          </w:p>
        </w:tc>
        <w:tc>
          <w:tcPr>
            <w:tcW w:w="276"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99"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70"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33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成本</w:t>
            </w:r>
          </w:p>
        </w:tc>
        <w:tc>
          <w:tcPr>
            <w:tcW w:w="67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成本控制率</w:t>
            </w:r>
          </w:p>
        </w:tc>
        <w:tc>
          <w:tcPr>
            <w:tcW w:w="1360"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成本控制率小于等于100%得15分，成本控制率每提高1%扣5%的分值</w:t>
            </w:r>
          </w:p>
        </w:tc>
        <w:tc>
          <w:tcPr>
            <w:tcW w:w="894" w:type="pct"/>
            <w:tcBorders>
              <w:tl2br w:val="nil"/>
              <w:tr2bl w:val="nil"/>
            </w:tcBorders>
            <w:vAlign w:val="center"/>
          </w:tcPr>
          <w:p>
            <w:pPr>
              <w:keepNext w:val="0"/>
              <w:keepLines w:val="0"/>
              <w:pageBreakBefore w:val="0"/>
              <w:kinsoku/>
              <w:wordWrap/>
              <w:overflowPunct/>
              <w:topLinePunct w:val="0"/>
              <w:autoSpaceDE w:val="0"/>
              <w:autoSpaceDN w:val="0"/>
              <w:bidi w:val="0"/>
              <w:adjustRightInd w:val="0"/>
              <w:jc w:val="both"/>
              <w:textAlignment w:val="auto"/>
              <w:rPr>
                <w:rFonts w:ascii="Times New Roman" w:hAnsi="Times New Roman" w:eastAsia="仿宋_GB2312" w:cs="Times New Roman"/>
              </w:rPr>
            </w:pPr>
            <w:r>
              <w:rPr>
                <w:rFonts w:ascii="Times New Roman" w:hAnsi="Times New Roman" w:eastAsia="仿宋_GB2312" w:cs="Times New Roman"/>
              </w:rPr>
              <w:t>项目实际支出金额与预算金额的比例</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41"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100</w:t>
            </w:r>
          </w:p>
        </w:tc>
        <w:tc>
          <w:tcPr>
            <w:tcW w:w="276" w:type="pct"/>
            <w:tcBorders>
              <w:tl2br w:val="nil"/>
              <w:tr2bl w:val="nil"/>
            </w:tcBorders>
            <w:vAlign w:val="center"/>
          </w:tcPr>
          <w:p>
            <w:pPr>
              <w:keepNext w:val="0"/>
              <w:keepLines w:val="0"/>
              <w:pageBreakBefore w:val="0"/>
              <w:kinsoku/>
              <w:wordWrap/>
              <w:overflowPunct/>
              <w:topLinePunct w:val="0"/>
              <w:bidi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99" w:type="pct"/>
            <w:tcBorders>
              <w:tl2br w:val="nil"/>
              <w:tr2bl w:val="nil"/>
            </w:tcBorders>
            <w:vAlign w:val="center"/>
          </w:tcPr>
          <w:p>
            <w:pPr>
              <w:keepNext w:val="0"/>
              <w:keepLines w:val="0"/>
              <w:pageBreakBefore w:val="0"/>
              <w:kinsoku/>
              <w:wordWrap/>
              <w:overflowPunct/>
              <w:topLinePunct w:val="0"/>
              <w:bidi w:val="0"/>
              <w:jc w:val="both"/>
              <w:textAlignment w:val="auto"/>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70" w:type="pct"/>
            <w:vMerge w:val="restart"/>
            <w:tcBorders>
              <w:tl2br w:val="nil"/>
              <w:tr2bl w:val="nil"/>
            </w:tcBorders>
            <w:vAlign w:val="center"/>
          </w:tcPr>
          <w:p>
            <w:pPr>
              <w:keepNext w:val="0"/>
              <w:keepLines w:val="0"/>
              <w:pageBreakBefore w:val="0"/>
              <w:kinsoku/>
              <w:wordWrap/>
              <w:overflowPunct/>
              <w:topLinePunct w:val="0"/>
              <w:bidi w:val="0"/>
              <w:adjustRightInd w:val="0"/>
              <w:snapToGrid w:val="0"/>
              <w:jc w:val="center"/>
              <w:textAlignment w:val="auto"/>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33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社会</w:t>
            </w:r>
          </w:p>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ascii="方正书宋_GBK" w:eastAsia="方正书宋_GBK"/>
              </w:rPr>
              <w:t>效益</w:t>
            </w:r>
          </w:p>
        </w:tc>
        <w:tc>
          <w:tcPr>
            <w:tcW w:w="67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设备利用率</w:t>
            </w:r>
          </w:p>
        </w:tc>
        <w:tc>
          <w:tcPr>
            <w:tcW w:w="1360"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设备合格率率达到100%得15分，每降低1%扣该项分值的5%。</w:t>
            </w:r>
          </w:p>
        </w:tc>
        <w:tc>
          <w:tcPr>
            <w:tcW w:w="894"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设备利用率占投用使用设备的比例</w:t>
            </w:r>
          </w:p>
        </w:tc>
        <w:tc>
          <w:tcPr>
            <w:tcW w:w="341"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41"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Times New Roman" w:hAnsi="Times New Roman" w:eastAsia="仿宋_GB2312" w:cs="Times New Roman"/>
              </w:rPr>
            </w:pPr>
            <w:r>
              <w:rPr>
                <w:rFonts w:ascii="Times New Roman" w:hAnsi="Times New Roman" w:eastAsia="仿宋_GB2312" w:cs="Times New Roman"/>
              </w:rPr>
              <w:t>100</w:t>
            </w:r>
          </w:p>
        </w:tc>
        <w:tc>
          <w:tcPr>
            <w:tcW w:w="27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9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370" w:type="pct"/>
            <w:vMerge w:val="continue"/>
            <w:tcBorders>
              <w:tl2br w:val="nil"/>
              <w:tr2bl w:val="nil"/>
            </w:tcBorders>
            <w:vAlign w:val="center"/>
          </w:tcPr>
          <w:p>
            <w:pPr>
              <w:keepNext w:val="0"/>
              <w:keepLines w:val="0"/>
              <w:pageBreakBefore w:val="0"/>
              <w:kinsoku/>
              <w:wordWrap/>
              <w:overflowPunct/>
              <w:topLinePunct w:val="0"/>
              <w:bidi w:val="0"/>
              <w:jc w:val="center"/>
              <w:textAlignment w:val="auto"/>
            </w:pPr>
          </w:p>
        </w:tc>
        <w:tc>
          <w:tcPr>
            <w:tcW w:w="33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方正书宋_GBK" w:eastAsia="方正书宋_GBK"/>
              </w:rPr>
            </w:pPr>
            <w:r>
              <w:rPr>
                <w:rFonts w:hint="eastAsia" w:ascii="方正书宋_GBK" w:eastAsia="方正书宋_GBK"/>
              </w:rPr>
              <w:t>满意度</w:t>
            </w:r>
          </w:p>
        </w:tc>
        <w:tc>
          <w:tcPr>
            <w:tcW w:w="679" w:type="pct"/>
            <w:tcBorders>
              <w:tl2br w:val="nil"/>
              <w:tr2bl w:val="nil"/>
            </w:tcBorders>
            <w:noWrap/>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服务人员满意度</w:t>
            </w:r>
          </w:p>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p>
        </w:tc>
        <w:tc>
          <w:tcPr>
            <w:tcW w:w="1360" w:type="pct"/>
            <w:tcBorders>
              <w:tl2br w:val="nil"/>
              <w:tr2bl w:val="nil"/>
            </w:tcBorders>
            <w:noWrap/>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服务人员满意度大于等于90%得10分，每降低1%扣该项分值的10%。</w:t>
            </w:r>
          </w:p>
        </w:tc>
        <w:tc>
          <w:tcPr>
            <w:tcW w:w="894" w:type="pct"/>
            <w:tcBorders>
              <w:tl2br w:val="nil"/>
              <w:tr2bl w:val="nil"/>
            </w:tcBorders>
            <w:noWrap/>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服务对象满意度人数占总人数的比例</w:t>
            </w:r>
          </w:p>
        </w:tc>
        <w:tc>
          <w:tcPr>
            <w:tcW w:w="341"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41"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Times New Roman" w:hAnsi="Times New Roman" w:eastAsia="仿宋_GB2312" w:cs="Times New Roman"/>
              </w:rPr>
            </w:pPr>
            <w:r>
              <w:rPr>
                <w:rFonts w:ascii="Times New Roman" w:hAnsi="Times New Roman" w:eastAsia="仿宋_GB2312" w:cs="Times New Roman"/>
              </w:rPr>
              <w:t>95</w:t>
            </w:r>
          </w:p>
        </w:tc>
        <w:tc>
          <w:tcPr>
            <w:tcW w:w="276" w:type="pct"/>
            <w:tcBorders>
              <w:tl2br w:val="nil"/>
              <w:tr2bl w:val="nil"/>
            </w:tcBorders>
            <w:vAlign w:val="center"/>
          </w:tcPr>
          <w:p>
            <w:pPr>
              <w:keepNext w:val="0"/>
              <w:keepLines w:val="0"/>
              <w:pageBreakBefore w:val="0"/>
              <w:widowControl/>
              <w:kinsoku/>
              <w:wordWrap/>
              <w:overflowPunct/>
              <w:topLinePunct w:val="0"/>
              <w:bidi w:val="0"/>
              <w:adjustRightInd w:val="0"/>
              <w:snapToGrid w:val="0"/>
              <w:jc w:val="center"/>
              <w:textAlignment w:val="auto"/>
              <w:rPr>
                <w:rFonts w:ascii="Times New Roman" w:hAnsi="Times New Roman" w:eastAsia="仿宋_GB2312" w:cs="Times New Roman"/>
              </w:rPr>
            </w:pPr>
            <w:r>
              <w:rPr>
                <w:rFonts w:ascii="Times New Roman" w:hAnsi="Times New Roman" w:eastAsia="仿宋_GB2312" w:cs="Times New Roman"/>
              </w:rPr>
              <w:t>%</w:t>
            </w:r>
          </w:p>
        </w:tc>
        <w:tc>
          <w:tcPr>
            <w:tcW w:w="399" w:type="pct"/>
            <w:tcBorders>
              <w:tl2br w:val="nil"/>
              <w:tr2bl w:val="nil"/>
            </w:tcBorders>
            <w:vAlign w:val="center"/>
          </w:tcPr>
          <w:p>
            <w:pPr>
              <w:keepNext w:val="0"/>
              <w:keepLines w:val="0"/>
              <w:pageBreakBefore w:val="0"/>
              <w:widowControl/>
              <w:kinsoku/>
              <w:wordWrap/>
              <w:overflowPunct/>
              <w:topLinePunct w:val="0"/>
              <w:bidi w:val="0"/>
              <w:adjustRightInd w:val="0"/>
              <w:snapToGrid w:val="0"/>
              <w:jc w:val="both"/>
              <w:textAlignment w:val="auto"/>
              <w:rPr>
                <w:rFonts w:ascii="Times New Roman" w:hAnsi="Times New Roman" w:eastAsia="仿宋_GB2312" w:cs="Times New Roman"/>
              </w:rPr>
            </w:pPr>
            <w:r>
              <w:rPr>
                <w:rFonts w:ascii="Times New Roman" w:hAnsi="Times New Roman" w:eastAsia="仿宋_GB2312" w:cs="Times New Roman"/>
              </w:rPr>
              <w:t>满意度调查问卷</w:t>
            </w:r>
          </w:p>
        </w:tc>
      </w:tr>
    </w:tbl>
    <w:p>
      <w:pPr>
        <w:keepNext w:val="0"/>
        <w:keepLines w:val="0"/>
        <w:pageBreakBefore w:val="0"/>
        <w:kinsoku/>
        <w:wordWrap/>
        <w:overflowPunct/>
        <w:topLinePunct w:val="0"/>
        <w:bidi w:val="0"/>
        <w:spacing w:line="584" w:lineRule="exact"/>
        <w:jc w:val="both"/>
        <w:textAlignment w:val="auto"/>
        <w:rPr>
          <w:rFonts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1.政务管理经费绩效目标表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pPr>
            <w:r>
              <w:rPr>
                <w:rFonts w:ascii="Times New Roman" w:hAnsi="Times New Roman" w:eastAsia="仿宋_GB2312" w:cs="Times New Roman"/>
                <w:kern w:val="2"/>
                <w:szCs w:val="22"/>
                <w:lang w:eastAsia="zh-CN"/>
              </w:rPr>
              <w:t>1.保障廊坊市广阳区人民代表大会常务委员会各项工作顺利开展，保障廊坊市广阳区人民代表大会常务委员会完成上级布置的各项工作，实现工作高效规范开展，提高服务质量。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各类办公物品及设备采购数量、维修维护数量</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采购能满足实际办公需求的物品及设备数量</w:t>
            </w:r>
          </w:p>
        </w:tc>
        <w:tc>
          <w:tcPr>
            <w:tcW w:w="1843"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个或件</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采购质量合格率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采购质量合格率</w:t>
            </w:r>
          </w:p>
        </w:tc>
        <w:tc>
          <w:tcPr>
            <w:tcW w:w="1843"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按时完成率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准确及时完成率</w:t>
            </w:r>
          </w:p>
        </w:tc>
        <w:tc>
          <w:tcPr>
            <w:tcW w:w="1843"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成本控制率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项目实际支出金额与预算金额的比例</w:t>
            </w:r>
          </w:p>
        </w:tc>
        <w:tc>
          <w:tcPr>
            <w:tcW w:w="1843"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设备利用率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设备利用率占投用使用设备的比例</w:t>
            </w:r>
          </w:p>
        </w:tc>
        <w:tc>
          <w:tcPr>
            <w:tcW w:w="1843"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服务人员满意度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服务对象满意度人数占总人数的比例</w:t>
            </w:r>
          </w:p>
        </w:tc>
        <w:tc>
          <w:tcPr>
            <w:tcW w:w="1843" w:type="dxa"/>
            <w:shd w:val="clear" w:color="auto" w:fill="auto"/>
            <w:vAlign w:val="center"/>
          </w:tcPr>
          <w:p>
            <w:pPr>
              <w:pStyle w:val="14"/>
              <w:jc w:val="center"/>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满意度调查问卷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2.第六届人民代表大会第二次会议经费绩效目标表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both"/>
            </w:pPr>
            <w:r>
              <w:rPr>
                <w:rFonts w:ascii="Times New Roman" w:hAnsi="Times New Roman" w:eastAsia="仿宋_GB2312" w:cs="Times New Roman"/>
              </w:rPr>
              <w:t>1.完善各项会议制度，规范会议程序，提高会议质量，提高人大代表履职水平。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召开会议数量</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召开会议数量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＝1次</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会议任务完成情况</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会议各项任务完成情况</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圆满完成</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会议及时率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及时开展会议的次数与文件要求开展会议次数的比例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成本控制率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项目实际支出金额与预算金额的比例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参会人员业务</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参会人员业务提升情况</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有效提升</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人大代表满意率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人大代表满意人数占全部代表的比例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.建设代表联络站经费绩效目标表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b/>
              </w:rPr>
            </w:pPr>
            <w:r>
              <w:rPr>
                <w:rFonts w:ascii="Times New Roman" w:hAnsi="Times New Roman" w:eastAsia="仿宋_GB2312" w:cs="Times New Roman"/>
              </w:rPr>
              <w:t>1. 通过人大代表联络站履职平台，为代表履职，体察民情，反映民意，关注人民群众普遍关心的热点难点问题，推进联络站工作开展活动，提出建议、批评和意见，监督促进“一府一委两院”推行工作发挥履职平台的优势和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工作计划执行率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实际工作计划占全年总计划的比重</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采购质量合格率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采购质量合格率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完成时间</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完成时间</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2022年12月底</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预算执行情况</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所有支出不超过预算安排</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≤15万元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建设利用率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建设利用率占投用使用的比例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服务对象满意度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服务对象满意度人数占总人数的比例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满意度问卷调查</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.学习培训经费绩效目标表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pPr>
            <w:r>
              <w:rPr>
                <w:rFonts w:ascii="Times New Roman" w:hAnsi="Times New Roman" w:eastAsia="仿宋_GB2312" w:cs="Times New Roman"/>
                <w:kern w:val="2"/>
                <w:szCs w:val="22"/>
                <w:lang w:eastAsia="zh-CN"/>
              </w:rPr>
              <w:t>1.加强人员培训，加大宣传力度，强化预算绩效管理意识，促进预算绩效管理水平提升。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组织代表培训人数覆盖率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代表培训人数占全部人数的比例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培训质量达标率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培训质量达标人数占总人数的比例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开展培训及时率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及时培训的次数与计划开展培训次数的比例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培训费标准</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培训费支付标准（二类）</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≤450元/人/天</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推动工作开展</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将培训精神和要求传达到位，推动工作开展</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部署学习、培训要求、推动工作开展、达到预期要求</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代表培训满意度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培训代表满意人数占全部培训代表的人数的比例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满意度调查问卷</w:t>
            </w:r>
          </w:p>
        </w:tc>
      </w:tr>
    </w:tbl>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hint="eastAsia"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jc w:val="left"/>
        <w:outlineLvl w:val="1"/>
        <w:rPr>
          <w:rFonts w:ascii="方正小标宋_GBK" w:eastAsia="方正小标宋_GBK" w:cs="Times New Roman"/>
          <w:sz w:val="32"/>
        </w:rPr>
      </w:pPr>
      <w:r>
        <w:rPr>
          <w:rFonts w:hint="eastAsia"/>
        </w:rPr>
        <w:t>廊坊市广阳区人民代表大会常务委员会</w:t>
      </w:r>
      <w:r>
        <w:t xml:space="preserve">                                  </w:t>
      </w:r>
      <w:r>
        <w:rPr>
          <w:rFonts w:hint="eastAsia"/>
          <w:lang w:val="en-US" w:eastAsia="zh-CN"/>
        </w:rPr>
        <w:t xml:space="preserve">                               </w:t>
      </w:r>
      <w:r>
        <w:t xml:space="preserve">                        单位：万元</w:t>
      </w:r>
    </w:p>
    <w:tbl>
      <w:tblPr>
        <w:tblStyle w:val="8"/>
        <w:tblpPr w:leftFromText="180" w:rightFromText="180" w:vertAnchor="text" w:horzAnchor="page" w:tblpXSpec="center" w:tblpY="283"/>
        <w:tblOverlap w:val="never"/>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79"/>
        <w:gridCol w:w="779"/>
        <w:gridCol w:w="884"/>
        <w:gridCol w:w="884"/>
        <w:gridCol w:w="884"/>
        <w:gridCol w:w="884"/>
        <w:gridCol w:w="884"/>
        <w:gridCol w:w="884"/>
        <w:gridCol w:w="884"/>
        <w:gridCol w:w="910"/>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5" w:type="pct"/>
            <w:gridSpan w:val="8"/>
            <w:vAlign w:val="center"/>
          </w:tcPr>
          <w:p>
            <w:pPr>
              <w:pStyle w:val="12"/>
            </w:pPr>
            <w:r>
              <w:t>政府采购金额（当年</w:t>
            </w:r>
            <w:r>
              <w:rPr>
                <w:rFonts w:hint="eastAsia"/>
                <w:lang w:eastAsia="zh-CN"/>
              </w:rPr>
              <w:t>单位</w:t>
            </w:r>
            <w:r>
              <w:t>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1" w:hRule="atLeas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21"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21"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pPr>
          </w:p>
        </w:tc>
        <w:tc>
          <w:tcPr>
            <w:tcW w:w="313" w:type="pct"/>
            <w:vAlign w:val="center"/>
          </w:tcPr>
          <w:p>
            <w:pPr>
              <w:pStyle w:val="13"/>
            </w:pPr>
          </w:p>
        </w:tc>
        <w:tc>
          <w:tcPr>
            <w:tcW w:w="367" w:type="pct"/>
            <w:vAlign w:val="center"/>
          </w:tcPr>
          <w:p>
            <w:pPr>
              <w:pStyle w:val="14"/>
            </w:pPr>
          </w:p>
        </w:tc>
        <w:tc>
          <w:tcPr>
            <w:tcW w:w="367" w:type="pct"/>
            <w:vAlign w:val="center"/>
          </w:tcPr>
          <w:p>
            <w:pPr>
              <w:pStyle w:val="14"/>
            </w:pPr>
          </w:p>
        </w:tc>
        <w:tc>
          <w:tcPr>
            <w:tcW w:w="229" w:type="pct"/>
            <w:vAlign w:val="center"/>
          </w:tcPr>
          <w:p>
            <w:pPr>
              <w:pStyle w:val="15"/>
            </w:pPr>
          </w:p>
        </w:tc>
        <w:tc>
          <w:tcPr>
            <w:tcW w:w="275" w:type="pct"/>
            <w:vAlign w:val="center"/>
          </w:tcPr>
          <w:p>
            <w:pPr>
              <w:pStyle w:val="13"/>
            </w:pPr>
          </w:p>
        </w:tc>
        <w:tc>
          <w:tcPr>
            <w:tcW w:w="275"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21" w:type="pct"/>
            <w:vAlign w:val="center"/>
          </w:tcPr>
          <w:p>
            <w:pPr>
              <w:pStyle w:val="13"/>
            </w:pPr>
          </w:p>
        </w:tc>
        <w:tc>
          <w:tcPr>
            <w:tcW w:w="312" w:type="pct"/>
            <w:vAlign w:val="center"/>
          </w:tcPr>
          <w:p>
            <w:pPr>
              <w:pStyle w:val="13"/>
            </w:pPr>
          </w:p>
        </w:tc>
      </w:tr>
    </w:tbl>
    <w:p>
      <w:pPr>
        <w:spacing w:line="500" w:lineRule="exact"/>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仿宋_GB2312" w:hAnsi="Times New Roman" w:eastAsia="仿宋_GB2312" w:cs="仿宋_GB2312"/>
          <w:sz w:val="32"/>
          <w:szCs w:val="32"/>
        </w:rPr>
        <w:t>廊坊市广阳区人民代表大会常务委员会</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286.48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7.425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仿宋_GB2312" w:hAnsi="Times New Roman" w:eastAsia="仿宋_GB2312" w:cs="仿宋_GB2312"/>
                <w:kern w:val="0"/>
              </w:rPr>
              <w:t>廊坊市广阳区人民代表大会常务委员会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32"/>
                <w:szCs w:val="32"/>
              </w:rPr>
              <w:t>286.48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69.1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137.52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79.86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EC504F-05D0-4AB0-A665-F4B1542302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C122E20E-08B4-4E12-A5B8-2D5558D39710}"/>
  </w:font>
  <w:font w:name="仿宋_GB2312">
    <w:panose1 w:val="02010609030101010101"/>
    <w:charset w:val="86"/>
    <w:family w:val="modern"/>
    <w:pitch w:val="default"/>
    <w:sig w:usb0="00000001" w:usb1="080E0000" w:usb2="00000000" w:usb3="00000000" w:csb0="00040000" w:csb1="00000000"/>
    <w:embedRegular r:id="rId3" w:fontKey="{94F89679-0497-499C-8E9F-339F59B9D79C}"/>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ECA63"/>
    <w:multiLevelType w:val="singleLevel"/>
    <w:tmpl w:val="5B4ECA6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172A27"/>
    <w:rsid w:val="000230E6"/>
    <w:rsid w:val="000B079E"/>
    <w:rsid w:val="000F6018"/>
    <w:rsid w:val="001A04B3"/>
    <w:rsid w:val="001D0A30"/>
    <w:rsid w:val="0025632D"/>
    <w:rsid w:val="002F47B7"/>
    <w:rsid w:val="003059E0"/>
    <w:rsid w:val="00382C01"/>
    <w:rsid w:val="003A7A07"/>
    <w:rsid w:val="003C2F04"/>
    <w:rsid w:val="003F1C6C"/>
    <w:rsid w:val="003F7DE2"/>
    <w:rsid w:val="004A54AA"/>
    <w:rsid w:val="006C4E8E"/>
    <w:rsid w:val="007703A4"/>
    <w:rsid w:val="00944233"/>
    <w:rsid w:val="009F1122"/>
    <w:rsid w:val="00AE1E36"/>
    <w:rsid w:val="00AF06FE"/>
    <w:rsid w:val="00B40732"/>
    <w:rsid w:val="00B80935"/>
    <w:rsid w:val="00B91FDE"/>
    <w:rsid w:val="00BB066D"/>
    <w:rsid w:val="00C54674"/>
    <w:rsid w:val="00C85EC0"/>
    <w:rsid w:val="00D17B05"/>
    <w:rsid w:val="00D347CC"/>
    <w:rsid w:val="00DC72B4"/>
    <w:rsid w:val="00EF7840"/>
    <w:rsid w:val="00F34868"/>
    <w:rsid w:val="00FE4D98"/>
    <w:rsid w:val="079B22E1"/>
    <w:rsid w:val="0CEC1180"/>
    <w:rsid w:val="22315165"/>
    <w:rsid w:val="2F662BC0"/>
    <w:rsid w:val="34007E64"/>
    <w:rsid w:val="3E006900"/>
    <w:rsid w:val="46F941C4"/>
    <w:rsid w:val="4AD877C8"/>
    <w:rsid w:val="4FE03267"/>
    <w:rsid w:val="517762E1"/>
    <w:rsid w:val="537E2A39"/>
    <w:rsid w:val="5D2822A3"/>
    <w:rsid w:val="5D6F6318"/>
    <w:rsid w:val="67F61CEA"/>
    <w:rsid w:val="73693C55"/>
    <w:rsid w:val="7B175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5764</Words>
  <Characters>6079</Characters>
  <Lines>8</Lines>
  <Paragraphs>13</Paragraphs>
  <TotalTime>14</TotalTime>
  <ScaleCrop>false</ScaleCrop>
  <LinksUpToDate>false</LinksUpToDate>
  <CharactersWithSpaces>6222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2023-08-01T04:23:08Z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7B21A0C760D945C799F50969C8A6625F</vt:lpwstr>
  </property>
</Properties>
</file>