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880" w:firstLineChars="200"/>
        <w:jc w:val="center"/>
        <w:rPr>
          <w:rFonts w:hint="eastAsia" w:ascii="Times New Roman" w:hAnsi="Times New Roman" w:eastAsia="方正小标宋简体" w:cs="Times New Roman"/>
          <w:sz w:val="44"/>
          <w:szCs w:val="44"/>
          <w:lang w:val="en-US" w:eastAsia="zh-CN"/>
        </w:rPr>
      </w:pPr>
      <w:r>
        <w:rPr>
          <w:rFonts w:ascii="Times New Roman" w:hAnsi="Times New Roman" w:eastAsia="方正小标宋简体" w:cs="Times New Roman"/>
          <w:sz w:val="44"/>
          <w:szCs w:val="44"/>
        </w:rPr>
        <w:t>廊坊市</w:t>
      </w:r>
      <w:r>
        <w:rPr>
          <w:rFonts w:hint="eastAsia" w:ascii="Times New Roman" w:hAnsi="Times New Roman" w:eastAsia="方正小标宋简体" w:cs="Times New Roman"/>
          <w:sz w:val="44"/>
          <w:szCs w:val="44"/>
          <w:lang w:eastAsia="zh-CN"/>
        </w:rPr>
        <w:t>广阳区</w:t>
      </w:r>
      <w:r>
        <w:rPr>
          <w:rFonts w:hint="eastAsia" w:ascii="Times New Roman" w:hAnsi="Times New Roman" w:eastAsia="方正小标宋简体" w:cs="Times New Roman"/>
          <w:sz w:val="44"/>
          <w:szCs w:val="44"/>
          <w:lang w:val="en-US" w:eastAsia="zh-CN"/>
        </w:rPr>
        <w:t>疾病预防控制中心</w:t>
      </w:r>
    </w:p>
    <w:p>
      <w:pPr>
        <w:spacing w:line="584" w:lineRule="exact"/>
        <w:ind w:firstLine="880" w:firstLineChars="200"/>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20</w:t>
      </w:r>
      <w:r>
        <w:rPr>
          <w:rFonts w:hint="eastAsia" w:ascii="Times New Roman" w:hAnsi="Times New Roman" w:eastAsia="方正小标宋简体" w:cs="Times New Roman"/>
          <w:sz w:val="44"/>
          <w:szCs w:val="44"/>
        </w:rPr>
        <w:t>2</w:t>
      </w:r>
      <w:r>
        <w:rPr>
          <w:rFonts w:ascii="Times New Roman" w:hAnsi="Times New Roman" w:eastAsia="方正小标宋简体" w:cs="Times New Roman"/>
          <w:sz w:val="44"/>
          <w:szCs w:val="44"/>
        </w:rPr>
        <w:t>2年</w:t>
      </w:r>
      <w:r>
        <w:rPr>
          <w:rFonts w:hint="eastAsia" w:ascii="Times New Roman" w:hAnsi="Times New Roman" w:eastAsia="方正小标宋简体" w:cs="Times New Roman"/>
          <w:sz w:val="44"/>
          <w:szCs w:val="44"/>
          <w:lang w:eastAsia="zh-CN"/>
        </w:rPr>
        <w:t>单位</w:t>
      </w:r>
      <w:r>
        <w:rPr>
          <w:rFonts w:ascii="Times New Roman" w:hAnsi="Times New Roman" w:eastAsia="方正小标宋简体" w:cs="Times New Roman"/>
          <w:sz w:val="44"/>
          <w:szCs w:val="44"/>
        </w:rPr>
        <w:t>预算信息公开</w:t>
      </w:r>
      <w:r>
        <w:rPr>
          <w:rFonts w:hint="eastAsia" w:ascii="Times New Roman" w:hAnsi="Times New Roman" w:eastAsia="方正小标宋简体" w:cs="Times New Roman"/>
          <w:sz w:val="44"/>
          <w:szCs w:val="44"/>
        </w:rPr>
        <w:t>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按照《中华人民共和国预算法》、《中华人民共和国预算法实施条例》、《地方预决算公开操作规程》和《河北省省级预算公开办法》规定，现将廊坊市</w:t>
      </w:r>
      <w:r>
        <w:rPr>
          <w:rFonts w:hint="eastAsia" w:ascii="Times New Roman" w:hAnsi="Times New Roman" w:eastAsia="仿宋_GB2312" w:cs="Times New Roman"/>
          <w:sz w:val="32"/>
          <w:szCs w:val="32"/>
          <w:lang w:eastAsia="zh-CN"/>
        </w:rPr>
        <w:t>广阳区</w:t>
      </w:r>
      <w:r>
        <w:rPr>
          <w:rFonts w:hint="eastAsia" w:ascii="Times New Roman" w:hAnsi="Times New Roman" w:eastAsia="仿宋_GB2312" w:cs="Times New Roman"/>
          <w:sz w:val="32"/>
          <w:szCs w:val="32"/>
          <w:lang w:val="en-US" w:eastAsia="zh-CN"/>
        </w:rPr>
        <w:t>疾病预防控制中心</w:t>
      </w: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预算公开如下：</w:t>
      </w:r>
    </w:p>
    <w:p>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w:t>
      </w:r>
      <w:r>
        <w:rPr>
          <w:rFonts w:hint="eastAsia" w:ascii="Times New Roman" w:hAnsi="Times New Roman" w:eastAsia="黑体" w:cs="Times New Roman"/>
          <w:sz w:val="32"/>
          <w:szCs w:val="32"/>
          <w:lang w:eastAsia="zh-CN"/>
        </w:rPr>
        <w:t>单位</w:t>
      </w:r>
      <w:r>
        <w:rPr>
          <w:rFonts w:ascii="Times New Roman" w:hAnsi="Times New Roman" w:eastAsia="黑体" w:cs="Times New Roman"/>
          <w:sz w:val="32"/>
          <w:szCs w:val="32"/>
        </w:rPr>
        <w:t>职责及机构设置情况</w:t>
      </w:r>
    </w:p>
    <w:p>
      <w:pPr>
        <w:spacing w:line="584" w:lineRule="exact"/>
        <w:ind w:firstLine="643" w:firstLineChars="200"/>
        <w:rPr>
          <w:rFonts w:ascii="Times New Roman" w:hAnsi="Times New Roman" w:eastAsia="楷体_GB2312" w:cs="Times New Roman"/>
          <w:b/>
          <w:sz w:val="32"/>
          <w:szCs w:val="32"/>
        </w:rPr>
      </w:pPr>
      <w:r>
        <w:rPr>
          <w:rFonts w:hint="eastAsia" w:ascii="Times New Roman" w:hAnsi="Times New Roman" w:eastAsia="楷体_GB2312" w:cs="Times New Roman"/>
          <w:b/>
          <w:sz w:val="32"/>
          <w:szCs w:val="32"/>
          <w:lang w:eastAsia="zh-CN"/>
        </w:rPr>
        <w:t>单位</w:t>
      </w:r>
      <w:r>
        <w:rPr>
          <w:rFonts w:ascii="Times New Roman" w:hAnsi="Times New Roman" w:eastAsia="楷体_GB2312" w:cs="Times New Roman"/>
          <w:b/>
          <w:sz w:val="32"/>
          <w:szCs w:val="32"/>
        </w:rPr>
        <w:t>职责：</w:t>
      </w:r>
    </w:p>
    <w:p>
      <w:pPr>
        <w:snapToGrid w:val="0"/>
        <w:spacing w:line="520" w:lineRule="exact"/>
        <w:ind w:firstLine="640" w:firstLineChars="200"/>
        <w:rPr>
          <w:rFonts w:hint="eastAsia" w:ascii="仿宋_GB2312" w:hAnsi="仿宋" w:eastAsia="仿宋_GB2312"/>
          <w:sz w:val="32"/>
          <w:szCs w:val="32"/>
        </w:rPr>
      </w:pPr>
      <w:r>
        <w:rPr>
          <w:rFonts w:hint="eastAsia" w:ascii="仿宋_GB2312" w:hAnsi="仿宋" w:eastAsia="仿宋_GB2312"/>
          <w:sz w:val="32"/>
          <w:szCs w:val="32"/>
        </w:rPr>
        <w:t>研究传染病、寄生虫病、地方病、非传染性疾病等疾病的分布，突发公共卫生事件应急处置：开展突发公共卫生事件处置和救灾防病的应急准备；疫情及健康相关因素信息管理：管理疾病预防控制信息系统，开展传染性疾病病原微生物的检测检验，开展中毒事件的毒物分析</w:t>
      </w:r>
      <w:r>
        <w:rPr>
          <w:rFonts w:hint="eastAsia" w:ascii="仿宋_GB2312" w:hAnsi="仿宋" w:eastAsia="仿宋_GB2312"/>
          <w:sz w:val="32"/>
          <w:szCs w:val="32"/>
          <w:lang w:val="en-US" w:eastAsia="zh-CN"/>
        </w:rPr>
        <w:t>等工作。</w:t>
      </w:r>
      <w:r>
        <w:rPr>
          <w:rFonts w:hint="eastAsia" w:ascii="仿宋_GB2312" w:hAnsi="仿宋" w:eastAsia="仿宋_GB2312"/>
          <w:sz w:val="32"/>
          <w:szCs w:val="32"/>
        </w:rPr>
        <w:t xml:space="preserve"> </w:t>
      </w:r>
    </w:p>
    <w:p>
      <w:pPr>
        <w:spacing w:line="584" w:lineRule="exact"/>
        <w:ind w:firstLine="660"/>
        <w:rPr>
          <w:rFonts w:ascii="Times New Roman" w:hAnsi="Times New Roman" w:eastAsia="仿宋_GB2312" w:cs="Times New Roman"/>
          <w:sz w:val="32"/>
          <w:szCs w:val="32"/>
        </w:rPr>
      </w:pPr>
    </w:p>
    <w:p>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pPr>
        <w:spacing w:line="584" w:lineRule="exact"/>
        <w:jc w:val="center"/>
        <w:outlineLvl w:val="0"/>
        <w:rPr>
          <w:rFonts w:ascii="Times New Roman" w:hAnsi="Times New Roman" w:eastAsia="仿宋_GB2312" w:cs="Times New Roman"/>
          <w:b/>
          <w:sz w:val="32"/>
          <w:szCs w:val="24"/>
        </w:rPr>
      </w:pPr>
      <w:r>
        <w:rPr>
          <w:rFonts w:hint="eastAsia" w:ascii="Times New Roman" w:hAnsi="Times New Roman" w:eastAsia="仿宋_GB2312" w:cs="Times New Roman"/>
          <w:b/>
          <w:sz w:val="32"/>
          <w:szCs w:val="24"/>
          <w:lang w:eastAsia="zh-CN"/>
        </w:rPr>
        <w:t>单位</w:t>
      </w:r>
      <w:r>
        <w:rPr>
          <w:rFonts w:ascii="Times New Roman" w:hAnsi="Times New Roman" w:eastAsia="仿宋_GB2312" w:cs="Times New Roman"/>
          <w:b/>
          <w:sz w:val="32"/>
          <w:szCs w:val="24"/>
        </w:rPr>
        <w:t>机构设置情况</w:t>
      </w:r>
    </w:p>
    <w:tbl>
      <w:tblPr>
        <w:tblStyle w:val="8"/>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tc>
        <w:tc>
          <w:tcPr>
            <w:tcW w:w="1134" w:type="dxa"/>
            <w:vMerge w:val="continue"/>
            <w:shd w:val="clear" w:color="auto" w:fill="auto"/>
            <w:vAlign w:val="center"/>
          </w:tcPr>
          <w:p/>
        </w:tc>
        <w:tc>
          <w:tcPr>
            <w:tcW w:w="1276" w:type="dxa"/>
            <w:vMerge w:val="continue"/>
            <w:shd w:val="clear" w:color="auto" w:fill="auto"/>
            <w:vAlign w:val="center"/>
          </w:tcPr>
          <w:p/>
        </w:tc>
        <w:tc>
          <w:tcPr>
            <w:tcW w:w="2902" w:type="dxa"/>
            <w:vMerge w:val="continue"/>
            <w:shd w:val="clear" w:color="auto" w:fill="auto"/>
            <w:vAlign w:val="center"/>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hint="default" w:ascii="Times New Roman" w:hAnsi="Times New Roman" w:eastAsia="仿宋_GB2312" w:cs="Times New Roman"/>
                <w:b/>
                <w:lang w:val="en-US" w:eastAsia="zh-CN"/>
              </w:rPr>
            </w:pPr>
            <w:r>
              <w:rPr>
                <w:rFonts w:hint="eastAsia" w:ascii="Times New Roman" w:hAnsi="Times New Roman" w:eastAsia="仿宋_GB2312" w:cs="Times New Roman"/>
                <w:b/>
                <w:lang w:val="en-US" w:eastAsia="zh-CN"/>
              </w:rPr>
              <w:t>廊坊市广阳区疾病预防控制中心</w:t>
            </w:r>
          </w:p>
        </w:tc>
        <w:tc>
          <w:tcPr>
            <w:tcW w:w="1134" w:type="dxa"/>
            <w:shd w:val="clear" w:color="auto" w:fill="auto"/>
            <w:vAlign w:val="center"/>
          </w:tcPr>
          <w:p>
            <w:pPr>
              <w:spacing w:line="584" w:lineRule="exact"/>
              <w:jc w:val="center"/>
              <w:rPr>
                <w:rFonts w:hint="eastAsia" w:ascii="Times New Roman" w:hAnsi="Times New Roman" w:eastAsia="仿宋_GB2312" w:cs="Times New Roman"/>
                <w:b/>
                <w:lang w:val="en-US" w:eastAsia="zh-CN"/>
              </w:rPr>
            </w:pPr>
            <w:r>
              <w:rPr>
                <w:rFonts w:hint="eastAsia" w:ascii="Times New Roman" w:hAnsi="Times New Roman" w:eastAsia="仿宋_GB2312" w:cs="Times New Roman"/>
                <w:b/>
                <w:lang w:val="en-US" w:eastAsia="zh-CN"/>
              </w:rPr>
              <w:t>事业</w:t>
            </w:r>
          </w:p>
        </w:tc>
        <w:tc>
          <w:tcPr>
            <w:tcW w:w="1276" w:type="dxa"/>
            <w:shd w:val="clear" w:color="auto" w:fill="auto"/>
            <w:vAlign w:val="center"/>
          </w:tcPr>
          <w:p>
            <w:pPr>
              <w:spacing w:line="584" w:lineRule="exact"/>
              <w:jc w:val="center"/>
              <w:rPr>
                <w:rFonts w:hint="eastAsia" w:ascii="Times New Roman" w:hAnsi="Times New Roman" w:eastAsia="仿宋_GB2312" w:cs="Times New Roman"/>
                <w:b/>
                <w:lang w:val="en-US" w:eastAsia="zh-CN"/>
              </w:rPr>
            </w:pPr>
            <w:r>
              <w:rPr>
                <w:rFonts w:hint="eastAsia" w:ascii="Times New Roman" w:hAnsi="Times New Roman" w:eastAsia="仿宋_GB2312" w:cs="Times New Roman"/>
                <w:b/>
                <w:lang w:val="en-US" w:eastAsia="zh-CN"/>
              </w:rPr>
              <w:t>股级</w:t>
            </w:r>
          </w:p>
        </w:tc>
        <w:tc>
          <w:tcPr>
            <w:tcW w:w="2902" w:type="dxa"/>
            <w:shd w:val="clear" w:color="auto" w:fill="auto"/>
            <w:vAlign w:val="center"/>
          </w:tcPr>
          <w:p>
            <w:pPr>
              <w:spacing w:line="584" w:lineRule="exact"/>
              <w:jc w:val="center"/>
              <w:rPr>
                <w:rFonts w:hint="eastAsia" w:ascii="Times New Roman" w:hAnsi="Times New Roman" w:eastAsia="仿宋_GB2312" w:cs="Times New Roman"/>
                <w:b/>
                <w:lang w:val="en-US" w:eastAsia="zh-CN"/>
              </w:rPr>
            </w:pPr>
            <w:r>
              <w:rPr>
                <w:rFonts w:hint="eastAsia" w:ascii="Times New Roman" w:hAnsi="Times New Roman" w:eastAsia="仿宋_GB2312" w:cs="Times New Roman"/>
                <w:b/>
                <w:lang w:val="en-US" w:eastAsia="zh-CN"/>
              </w:rPr>
              <w:t>财政性资金基本保证（全额事业）</w:t>
            </w:r>
          </w:p>
        </w:tc>
      </w:tr>
    </w:tbl>
    <w:p>
      <w:pPr>
        <w:spacing w:line="584"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w:t>
      </w:r>
      <w:r>
        <w:rPr>
          <w:rFonts w:hint="eastAsia" w:ascii="Times New Roman" w:hAnsi="Times New Roman" w:eastAsia="黑体" w:cs="Times New Roman"/>
          <w:sz w:val="32"/>
          <w:szCs w:val="32"/>
          <w:lang w:eastAsia="zh-CN"/>
        </w:rPr>
        <w:t>单位</w:t>
      </w:r>
      <w:r>
        <w:rPr>
          <w:rFonts w:ascii="Times New Roman" w:hAnsi="Times New Roman" w:eastAsia="黑体" w:cs="Times New Roman"/>
          <w:sz w:val="32"/>
          <w:szCs w:val="32"/>
        </w:rPr>
        <w:t>预算安排的总体情况</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w:t>
      </w:r>
      <w:r>
        <w:rPr>
          <w:rFonts w:hint="eastAsia" w:ascii="Times New Roman" w:hAnsi="Times New Roman" w:eastAsia="仿宋_GB2312" w:cs="Times New Roman"/>
          <w:sz w:val="32"/>
          <w:szCs w:val="32"/>
          <w:lang w:eastAsia="zh-CN"/>
        </w:rPr>
        <w:t>区单位</w:t>
      </w:r>
      <w:r>
        <w:rPr>
          <w:rFonts w:ascii="Times New Roman" w:hAnsi="Times New Roman" w:eastAsia="仿宋_GB2312" w:cs="Times New Roman"/>
          <w:sz w:val="32"/>
          <w:szCs w:val="32"/>
        </w:rPr>
        <w:t>预算的编制实行综合预算制度，即全部收入和支出都反映在预算中。廊坊市</w:t>
      </w:r>
      <w:r>
        <w:rPr>
          <w:rFonts w:hint="eastAsia" w:ascii="Times New Roman" w:hAnsi="Times New Roman" w:eastAsia="仿宋_GB2312" w:cs="Times New Roman"/>
          <w:sz w:val="32"/>
          <w:szCs w:val="32"/>
          <w:lang w:eastAsia="zh-CN"/>
        </w:rPr>
        <w:t>广阳区</w:t>
      </w:r>
      <w:r>
        <w:rPr>
          <w:rFonts w:hint="eastAsia" w:ascii="Times New Roman" w:hAnsi="Times New Roman" w:eastAsia="仿宋_GB2312" w:cs="Times New Roman"/>
          <w:sz w:val="32"/>
          <w:szCs w:val="32"/>
          <w:lang w:val="en-US" w:eastAsia="zh-CN"/>
        </w:rPr>
        <w:t>疾病预防控制中心</w:t>
      </w:r>
      <w:r>
        <w:rPr>
          <w:rFonts w:ascii="Times New Roman" w:hAnsi="Times New Roman" w:eastAsia="仿宋_GB2312" w:cs="Times New Roman"/>
          <w:sz w:val="32"/>
          <w:szCs w:val="32"/>
        </w:rPr>
        <w:t>的收支包含在</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预算中。</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1、收入说明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当年全部收入。20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2年预算收入</w:t>
      </w:r>
      <w:r>
        <w:rPr>
          <w:rFonts w:hint="eastAsia" w:ascii="Times New Roman" w:hAnsi="Times New Roman" w:eastAsia="仿宋_GB2312" w:cs="Times New Roman"/>
          <w:sz w:val="32"/>
          <w:szCs w:val="32"/>
          <w:lang w:val="en-US" w:eastAsia="zh-CN"/>
        </w:rPr>
        <w:t>588.42</w:t>
      </w:r>
      <w:r>
        <w:rPr>
          <w:rFonts w:ascii="Times New Roman" w:hAnsi="Times New Roman" w:eastAsia="仿宋_GB2312" w:cs="Times New Roman"/>
          <w:sz w:val="32"/>
          <w:szCs w:val="32"/>
        </w:rPr>
        <w:t>万元，其中：一般公共预算收入</w:t>
      </w:r>
      <w:r>
        <w:rPr>
          <w:rFonts w:hint="eastAsia" w:ascii="Times New Roman" w:hAnsi="Times New Roman" w:eastAsia="仿宋_GB2312" w:cs="Times New Roman"/>
          <w:sz w:val="32"/>
          <w:szCs w:val="32"/>
          <w:lang w:val="en-US" w:eastAsia="zh-CN"/>
        </w:rPr>
        <w:t>588.42</w:t>
      </w:r>
      <w:r>
        <w:rPr>
          <w:rFonts w:ascii="Times New Roman" w:hAnsi="Times New Roman" w:eastAsia="仿宋_GB2312" w:cs="Times New Roman"/>
          <w:sz w:val="32"/>
          <w:szCs w:val="32"/>
        </w:rPr>
        <w:t>万元，基金预算收入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万元，财政专户核拨收入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万元，其他来源收</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上年结转</w:t>
      </w:r>
      <w:r>
        <w:rPr>
          <w:rFonts w:hint="eastAsia" w:ascii="Times New Roman" w:hAnsi="Times New Roman" w:eastAsia="仿宋_GB2312" w:cs="Times New Roman"/>
          <w:sz w:val="32"/>
          <w:szCs w:val="32"/>
          <w:lang w:val="en-US" w:eastAsia="zh-CN"/>
        </w:rPr>
        <w:t>35</w:t>
      </w:r>
      <w:r>
        <w:rPr>
          <w:rFonts w:hint="eastAsia" w:ascii="Times New Roman" w:hAnsi="Times New Roman" w:eastAsia="仿宋_GB2312" w:cs="Times New Roman"/>
          <w:sz w:val="32"/>
          <w:szCs w:val="32"/>
        </w:rPr>
        <w:t>万元</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2、支出说明</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收支预算总表支出栏、基本支出表、项目支出表按经济分类和支出功能分类科目编制，反映廊坊市</w:t>
      </w:r>
      <w:r>
        <w:rPr>
          <w:rFonts w:hint="eastAsia" w:ascii="Times New Roman" w:hAnsi="Times New Roman" w:eastAsia="仿宋_GB2312" w:cs="Times New Roman"/>
          <w:sz w:val="32"/>
          <w:szCs w:val="32"/>
          <w:lang w:eastAsia="zh-CN"/>
        </w:rPr>
        <w:t>广阳区</w:t>
      </w:r>
      <w:r>
        <w:rPr>
          <w:rFonts w:hint="eastAsia" w:ascii="Times New Roman" w:hAnsi="Times New Roman" w:eastAsia="仿宋_GB2312" w:cs="Times New Roman"/>
          <w:sz w:val="32"/>
          <w:szCs w:val="32"/>
          <w:lang w:val="en-US" w:eastAsia="zh-CN"/>
        </w:rPr>
        <w:t>疾病预防控制中心2022</w:t>
      </w:r>
      <w:r>
        <w:rPr>
          <w:rFonts w:ascii="Times New Roman" w:hAnsi="Times New Roman" w:eastAsia="仿宋_GB2312" w:cs="Times New Roman"/>
          <w:sz w:val="32"/>
          <w:szCs w:val="32"/>
        </w:rPr>
        <w:t>年度</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预算中支出预算的总体情况。20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2年支出预算</w:t>
      </w:r>
      <w:r>
        <w:rPr>
          <w:rFonts w:hint="eastAsia" w:ascii="Times New Roman" w:hAnsi="Times New Roman" w:eastAsia="仿宋_GB2312" w:cs="Times New Roman"/>
          <w:sz w:val="32"/>
          <w:szCs w:val="32"/>
          <w:lang w:val="en-US" w:eastAsia="zh-CN"/>
        </w:rPr>
        <w:t>588.42</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527.22</w:t>
      </w:r>
      <w:r>
        <w:rPr>
          <w:rFonts w:ascii="Times New Roman" w:hAnsi="Times New Roman" w:eastAsia="仿宋_GB2312" w:cs="Times New Roman"/>
          <w:sz w:val="32"/>
          <w:szCs w:val="32"/>
        </w:rPr>
        <w:t>万元，包括人员类项目经费</w:t>
      </w:r>
      <w:r>
        <w:rPr>
          <w:rFonts w:hint="eastAsia" w:ascii="Times New Roman" w:hAnsi="Times New Roman" w:eastAsia="仿宋_GB2312" w:cs="Times New Roman"/>
          <w:sz w:val="32"/>
          <w:szCs w:val="32"/>
          <w:lang w:val="en-US" w:eastAsia="zh-CN"/>
        </w:rPr>
        <w:t>416.21</w:t>
      </w:r>
      <w:r>
        <w:rPr>
          <w:rFonts w:ascii="Times New Roman" w:hAnsi="Times New Roman" w:eastAsia="仿宋_GB2312" w:cs="Times New Roman"/>
          <w:sz w:val="32"/>
          <w:szCs w:val="32"/>
        </w:rPr>
        <w:t>万元和</w:t>
      </w:r>
      <w:r>
        <w:rPr>
          <w:rFonts w:hint="eastAsia" w:ascii="Times New Roman" w:hAnsi="Times New Roman" w:eastAsia="仿宋_GB2312" w:cs="Times New Roman"/>
          <w:sz w:val="32"/>
          <w:szCs w:val="32"/>
        </w:rPr>
        <w:t>运转类</w:t>
      </w:r>
      <w:r>
        <w:rPr>
          <w:rFonts w:ascii="Times New Roman" w:hAnsi="Times New Roman" w:eastAsia="仿宋_GB2312" w:cs="Times New Roman"/>
          <w:sz w:val="32"/>
          <w:szCs w:val="32"/>
        </w:rPr>
        <w:t>公用项目经费</w:t>
      </w:r>
      <w:r>
        <w:rPr>
          <w:rFonts w:hint="eastAsia" w:ascii="Times New Roman" w:hAnsi="Times New Roman" w:eastAsia="仿宋_GB2312" w:cs="Times New Roman"/>
          <w:sz w:val="32"/>
          <w:szCs w:val="32"/>
          <w:lang w:val="en-US" w:eastAsia="zh-CN"/>
        </w:rPr>
        <w:t>111.01</w:t>
      </w:r>
      <w:r>
        <w:rPr>
          <w:rFonts w:ascii="Times New Roman" w:hAnsi="Times New Roman" w:eastAsia="仿宋_GB2312" w:cs="Times New Roman"/>
          <w:sz w:val="32"/>
          <w:szCs w:val="32"/>
        </w:rPr>
        <w:t>万元；运转类其他及特定目标类项目支出</w:t>
      </w:r>
      <w:r>
        <w:rPr>
          <w:rFonts w:hint="eastAsia" w:ascii="Times New Roman" w:hAnsi="Times New Roman" w:eastAsia="仿宋_GB2312" w:cs="Times New Roman"/>
          <w:sz w:val="32"/>
          <w:szCs w:val="32"/>
          <w:lang w:val="en-US" w:eastAsia="zh-CN"/>
        </w:rPr>
        <w:t>61.2</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lang w:val="en-US" w:eastAsia="zh-CN"/>
        </w:rPr>
        <w:t>全部为</w:t>
      </w:r>
      <w:r>
        <w:rPr>
          <w:rFonts w:ascii="Times New Roman" w:hAnsi="Times New Roman" w:eastAsia="仿宋_GB2312" w:cs="Times New Roman"/>
          <w:sz w:val="32"/>
          <w:szCs w:val="32"/>
        </w:rPr>
        <w:t>本级支出，主要为</w:t>
      </w:r>
      <w:r>
        <w:rPr>
          <w:rFonts w:hint="eastAsia" w:ascii="Times New Roman" w:hAnsi="Times New Roman" w:eastAsia="仿宋_GB2312" w:cs="Times New Roman"/>
          <w:sz w:val="32"/>
          <w:szCs w:val="32"/>
          <w:lang w:val="en-US" w:eastAsia="zh-CN"/>
        </w:rPr>
        <w:t>疾控新建项目35万元</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疾病监测实验室检测经费20万元</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lang w:val="en-US" w:eastAsia="zh-CN"/>
        </w:rPr>
        <w:t>慢性非传染性疾病防治经费</w:t>
      </w:r>
      <w:r>
        <w:rPr>
          <w:rFonts w:ascii="Times New Roman" w:hAnsi="Times New Roman" w:eastAsia="仿宋_GB2312" w:cs="Times New Roman"/>
          <w:sz w:val="32"/>
          <w:szCs w:val="32"/>
        </w:rPr>
        <w:t>。</w:t>
      </w:r>
    </w:p>
    <w:p>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3、比上年增减情况</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2年预算收支安排</w:t>
      </w:r>
      <w:r>
        <w:rPr>
          <w:rFonts w:hint="eastAsia" w:ascii="Times New Roman" w:hAnsi="Times New Roman" w:eastAsia="仿宋_GB2312" w:cs="Times New Roman"/>
          <w:sz w:val="32"/>
          <w:szCs w:val="32"/>
          <w:lang w:val="en-US" w:eastAsia="zh-CN"/>
        </w:rPr>
        <w:t>588.42</w:t>
      </w:r>
      <w:r>
        <w:rPr>
          <w:rFonts w:ascii="Times New Roman" w:hAnsi="Times New Roman" w:eastAsia="仿宋_GB2312" w:cs="Times New Roman"/>
          <w:sz w:val="32"/>
          <w:szCs w:val="32"/>
        </w:rPr>
        <w:t>万元，较20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1年预算增加</w:t>
      </w:r>
      <w:r>
        <w:rPr>
          <w:rFonts w:hint="eastAsia" w:ascii="Times New Roman" w:hAnsi="Times New Roman" w:eastAsia="仿宋_GB2312" w:cs="Times New Roman"/>
          <w:sz w:val="32"/>
          <w:szCs w:val="32"/>
          <w:lang w:val="en-US" w:eastAsia="zh-CN"/>
        </w:rPr>
        <w:t>9.38</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减少51.82</w:t>
      </w:r>
      <w:r>
        <w:rPr>
          <w:rFonts w:ascii="Times New Roman" w:hAnsi="Times New Roman" w:eastAsia="仿宋_GB2312" w:cs="Times New Roman"/>
          <w:sz w:val="32"/>
          <w:szCs w:val="32"/>
        </w:rPr>
        <w:t>万元，主要为</w:t>
      </w:r>
      <w:r>
        <w:rPr>
          <w:rFonts w:hint="eastAsia" w:ascii="Times New Roman" w:hAnsi="Times New Roman" w:eastAsia="仿宋_GB2312" w:cs="Times New Roman"/>
          <w:sz w:val="32"/>
          <w:szCs w:val="32"/>
          <w:lang w:val="en-US" w:eastAsia="zh-CN"/>
        </w:rPr>
        <w:t>人员</w:t>
      </w:r>
      <w:r>
        <w:rPr>
          <w:rFonts w:ascii="Times New Roman" w:hAnsi="Times New Roman" w:eastAsia="仿宋_GB2312" w:cs="Times New Roman"/>
          <w:sz w:val="32"/>
          <w:szCs w:val="32"/>
        </w:rPr>
        <w:t>支出；项目支出</w:t>
      </w:r>
      <w:r>
        <w:rPr>
          <w:rFonts w:hint="eastAsia" w:ascii="Times New Roman" w:hAnsi="Times New Roman" w:eastAsia="仿宋_GB2312" w:cs="Times New Roman"/>
          <w:sz w:val="32"/>
          <w:szCs w:val="32"/>
          <w:lang w:val="en-US" w:eastAsia="zh-CN"/>
        </w:rPr>
        <w:t>增加61.2</w:t>
      </w:r>
      <w:r>
        <w:rPr>
          <w:rFonts w:ascii="Times New Roman" w:hAnsi="Times New Roman" w:eastAsia="仿宋_GB2312" w:cs="Times New Roman"/>
          <w:sz w:val="32"/>
          <w:szCs w:val="32"/>
        </w:rPr>
        <w:t>万元，主要为</w:t>
      </w:r>
      <w:r>
        <w:rPr>
          <w:rFonts w:hint="eastAsia" w:ascii="Times New Roman" w:hAnsi="Times New Roman" w:eastAsia="仿宋_GB2312" w:cs="Times New Roman"/>
          <w:sz w:val="32"/>
          <w:szCs w:val="32"/>
          <w:lang w:val="en-US" w:eastAsia="zh-CN"/>
        </w:rPr>
        <w:t>疾控新建项目、疾病监测实验室检测项目、慢性非传染性疾病防治</w:t>
      </w:r>
      <w:r>
        <w:rPr>
          <w:rFonts w:ascii="Times New Roman" w:hAnsi="Times New Roman" w:eastAsia="仿宋_GB2312" w:cs="Times New Roman"/>
          <w:sz w:val="32"/>
          <w:szCs w:val="32"/>
        </w:rPr>
        <w:t>项目支出。</w:t>
      </w:r>
    </w:p>
    <w:p>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三、机关运行经费安排情况</w:t>
      </w:r>
    </w:p>
    <w:p>
      <w:pPr>
        <w:autoSpaceDE w:val="0"/>
        <w:autoSpaceDN w:val="0"/>
        <w:adjustRightInd w:val="0"/>
        <w:spacing w:line="584" w:lineRule="exact"/>
        <w:ind w:left="198" w:firstLine="640" w:firstLineChars="200"/>
        <w:jc w:val="left"/>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2022年，我局机关运行经费共计111.01万元，主要用于疾病预防控制中心办公区的日常维修、办公用房水电费、办公用房取暖费、办公用房物业管理费等日常运行支出。</w:t>
      </w:r>
    </w:p>
    <w:p>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四、财政拨款“三公”经费预算情况及增减变化原因</w:t>
      </w:r>
    </w:p>
    <w:p>
      <w:pPr>
        <w:autoSpaceDE w:val="0"/>
        <w:autoSpaceDN w:val="0"/>
        <w:adjustRightInd w:val="0"/>
        <w:spacing w:line="584" w:lineRule="exact"/>
        <w:ind w:left="197" w:leftChars="94"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2年，我</w:t>
      </w:r>
      <w:r>
        <w:rPr>
          <w:rFonts w:hint="eastAsia" w:ascii="Times New Roman" w:hAnsi="Times New Roman" w:eastAsia="仿宋_GB2312" w:cs="Times New Roman"/>
          <w:sz w:val="32"/>
          <w:szCs w:val="32"/>
          <w:lang w:val="en-US" w:eastAsia="zh-CN"/>
        </w:rPr>
        <w:t>单位</w:t>
      </w:r>
      <w:r>
        <w:rPr>
          <w:rFonts w:ascii="Times New Roman" w:hAnsi="Times New Roman" w:eastAsia="仿宋_GB2312" w:cs="Times New Roman"/>
          <w:sz w:val="32"/>
          <w:szCs w:val="32"/>
        </w:rPr>
        <w:t>财政拨款“三公”经费预算安排</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因公出国（境）费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万元；公务用车购置及运维费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万元（其中：公务用车购置费为</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万元，公务用车运维费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万元)；公务接待费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万元。与20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1年相比持平，无增减变化。</w:t>
      </w:r>
    </w:p>
    <w:p>
      <w:pPr>
        <w:keepNext w:val="0"/>
        <w:keepLines w:val="0"/>
        <w:pageBreakBefore w:val="0"/>
        <w:widowControl w:val="0"/>
        <w:kinsoku/>
        <w:wordWrap/>
        <w:overflowPunct/>
        <w:topLinePunct w:val="0"/>
        <w:autoSpaceDE/>
        <w:autoSpaceDN/>
        <w:bidi w:val="0"/>
        <w:adjustRightInd/>
        <w:snapToGrid/>
        <w:spacing w:line="584" w:lineRule="exact"/>
        <w:ind w:firstLine="640" w:firstLineChars="200"/>
        <w:textAlignment w:val="auto"/>
        <w:rPr>
          <w:rFonts w:ascii="Times New Roman" w:hAnsi="Times New Roman" w:eastAsia="黑体" w:cs="Times New Roman"/>
          <w:sz w:val="32"/>
          <w:szCs w:val="32"/>
        </w:rPr>
      </w:pPr>
      <w:r>
        <w:rPr>
          <w:rFonts w:ascii="Times New Roman" w:hAnsi="Times New Roman" w:eastAsia="黑体" w:cs="Times New Roman"/>
          <w:sz w:val="32"/>
          <w:szCs w:val="32"/>
        </w:rPr>
        <w:t>五、预算绩效信息</w:t>
      </w:r>
    </w:p>
    <w:p>
      <w:pPr>
        <w:keepNext w:val="0"/>
        <w:keepLines w:val="0"/>
        <w:pageBreakBefore w:val="0"/>
        <w:widowControl w:val="0"/>
        <w:kinsoku/>
        <w:wordWrap/>
        <w:overflowPunct/>
        <w:topLinePunct w:val="0"/>
        <w:autoSpaceDE/>
        <w:autoSpaceDN/>
        <w:bidi w:val="0"/>
        <w:adjustRightInd/>
        <w:snapToGrid/>
        <w:spacing w:line="584" w:lineRule="exact"/>
        <w:ind w:firstLine="640" w:firstLineChars="200"/>
        <w:textAlignment w:val="auto"/>
        <w:rPr>
          <w:rFonts w:ascii="Times New Roman" w:hAnsi="Times New Roman" w:eastAsia="黑体" w:cs="Times New Roman"/>
          <w:sz w:val="32"/>
          <w:szCs w:val="32"/>
        </w:rPr>
      </w:pPr>
      <w:r>
        <w:rPr>
          <w:rFonts w:hint="eastAsia" w:ascii="Times New Roman" w:hAnsi="Times New Roman" w:eastAsia="黑体" w:cs="Times New Roman"/>
          <w:sz w:val="32"/>
          <w:szCs w:val="32"/>
        </w:rPr>
        <w:t xml:space="preserve">第一部分 </w:t>
      </w:r>
      <w:r>
        <w:rPr>
          <w:rFonts w:hint="eastAsia" w:ascii="Times New Roman" w:hAnsi="Times New Roman" w:eastAsia="黑体" w:cs="Times New Roman"/>
          <w:sz w:val="32"/>
          <w:szCs w:val="32"/>
          <w:lang w:eastAsia="zh-CN"/>
        </w:rPr>
        <w:t>单位</w:t>
      </w:r>
      <w:r>
        <w:rPr>
          <w:rFonts w:hint="eastAsia" w:ascii="Times New Roman" w:hAnsi="Times New Roman" w:eastAsia="黑体" w:cs="Times New Roman"/>
          <w:sz w:val="32"/>
          <w:szCs w:val="32"/>
        </w:rPr>
        <w:t>整体绩效目标</w:t>
      </w:r>
    </w:p>
    <w:p>
      <w:pPr>
        <w:keepNext w:val="0"/>
        <w:keepLines w:val="0"/>
        <w:pageBreakBefore w:val="0"/>
        <w:widowControl w:val="0"/>
        <w:kinsoku/>
        <w:wordWrap/>
        <w:overflowPunct/>
        <w:topLinePunct w:val="0"/>
        <w:autoSpaceDE/>
        <w:autoSpaceDN/>
        <w:bidi w:val="0"/>
        <w:adjustRightInd/>
        <w:snapToGrid/>
        <w:spacing w:line="584" w:lineRule="exact"/>
        <w:ind w:firstLine="643" w:firstLineChars="200"/>
        <w:textAlignment w:val="auto"/>
        <w:rPr>
          <w:rFonts w:ascii="楷体_GB2312" w:eastAsia="楷体_GB2312" w:cs="Times New Roman"/>
          <w:b/>
          <w:sz w:val="32"/>
          <w:szCs w:val="32"/>
        </w:rPr>
      </w:pPr>
      <w:r>
        <w:rPr>
          <w:rFonts w:hint="eastAsia" w:ascii="楷体_GB2312" w:eastAsia="楷体_GB2312" w:cs="Times New Roman"/>
          <w:b/>
          <w:sz w:val="32"/>
          <w:szCs w:val="32"/>
        </w:rPr>
        <w:t>（一）总体绩效目标</w:t>
      </w:r>
    </w:p>
    <w:p>
      <w:pPr>
        <w:keepNext w:val="0"/>
        <w:keepLines w:val="0"/>
        <w:pageBreakBefore w:val="0"/>
        <w:widowControl w:val="0"/>
        <w:kinsoku/>
        <w:wordWrap/>
        <w:overflowPunct/>
        <w:topLinePunct w:val="0"/>
        <w:autoSpaceDE/>
        <w:autoSpaceDN/>
        <w:bidi w:val="0"/>
        <w:adjustRightInd/>
        <w:snapToGrid/>
        <w:spacing w:line="584" w:lineRule="exact"/>
        <w:ind w:firstLine="640" w:firstLineChars="200"/>
        <w:textAlignment w:val="auto"/>
        <w:rPr>
          <w:rFonts w:hint="eastAsia" w:ascii="Times New Roman" w:hAnsi="Times New Roman" w:eastAsia="仿宋_GB2312"/>
          <w:sz w:val="32"/>
          <w:lang w:val="en-US" w:eastAsia="zh-CN"/>
        </w:rPr>
      </w:pPr>
      <w:r>
        <w:rPr>
          <w:rFonts w:ascii="Times New Roman" w:hAnsi="Times New Roman" w:eastAsia="仿宋_GB2312"/>
          <w:sz w:val="32"/>
        </w:rPr>
        <w:t>2022年，区</w:t>
      </w:r>
      <w:r>
        <w:rPr>
          <w:rFonts w:hint="eastAsia" w:ascii="Times New Roman" w:hAnsi="Times New Roman" w:eastAsia="仿宋_GB2312"/>
          <w:sz w:val="32"/>
          <w:lang w:val="en-US" w:eastAsia="zh-CN"/>
        </w:rPr>
        <w:t>疾控中心</w:t>
      </w:r>
      <w:r>
        <w:rPr>
          <w:rFonts w:ascii="Times New Roman" w:hAnsi="Times New Roman" w:eastAsia="仿宋_GB2312"/>
          <w:sz w:val="32"/>
        </w:rPr>
        <w:t>将会在区委、区政府的正确领导下，紧紧围绕全年目标任务，强化措施，狠抓落实，探索创新</w:t>
      </w:r>
      <w:r>
        <w:rPr>
          <w:rFonts w:hint="eastAsia" w:ascii="Times New Roman" w:hAnsi="Times New Roman" w:eastAsia="仿宋_GB2312"/>
          <w:sz w:val="32"/>
          <w:lang w:val="en-US" w:eastAsia="zh-CN"/>
        </w:rPr>
        <w:t>疾病预防控制</w:t>
      </w:r>
      <w:r>
        <w:rPr>
          <w:rFonts w:ascii="Times New Roman" w:hAnsi="Times New Roman" w:eastAsia="仿宋_GB2312"/>
          <w:sz w:val="32"/>
        </w:rPr>
        <w:t>工作的新思路、新方法，有力推动全区</w:t>
      </w:r>
      <w:r>
        <w:rPr>
          <w:rFonts w:hint="eastAsia" w:ascii="Times New Roman" w:hAnsi="Times New Roman" w:eastAsia="仿宋_GB2312"/>
          <w:sz w:val="32"/>
          <w:lang w:val="en-US" w:eastAsia="zh-CN"/>
        </w:rPr>
        <w:t>疾控</w:t>
      </w:r>
      <w:r>
        <w:rPr>
          <w:rFonts w:ascii="Times New Roman" w:hAnsi="Times New Roman" w:eastAsia="仿宋_GB2312"/>
          <w:sz w:val="32"/>
        </w:rPr>
        <w:t>工作的持续健康发展。</w:t>
      </w:r>
      <w:r>
        <w:rPr>
          <w:rFonts w:hint="eastAsia" w:ascii="Times New Roman" w:hAnsi="Times New Roman" w:eastAsia="仿宋_GB2312"/>
          <w:sz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4" w:lineRule="exact"/>
        <w:ind w:firstLine="643" w:firstLineChars="200"/>
        <w:textAlignment w:val="auto"/>
        <w:rPr>
          <w:rFonts w:ascii="楷体_GB2312" w:eastAsia="楷体_GB2312" w:cs="Times New Roman"/>
          <w:b/>
          <w:sz w:val="32"/>
          <w:szCs w:val="32"/>
        </w:rPr>
      </w:pPr>
      <w:r>
        <w:rPr>
          <w:rFonts w:hint="eastAsia" w:ascii="楷体_GB2312" w:eastAsia="楷体_GB2312" w:cs="Times New Roman"/>
          <w:b/>
          <w:sz w:val="32"/>
          <w:szCs w:val="32"/>
        </w:rPr>
        <w:t>（二）分项绩效目标</w:t>
      </w:r>
    </w:p>
    <w:p>
      <w:pPr>
        <w:pStyle w:val="19"/>
        <w:keepNext w:val="0"/>
        <w:keepLines w:val="0"/>
        <w:pageBreakBefore w:val="0"/>
        <w:widowControl w:val="0"/>
        <w:kinsoku/>
        <w:wordWrap/>
        <w:overflowPunct/>
        <w:topLinePunct w:val="0"/>
        <w:autoSpaceDE/>
        <w:autoSpaceDN/>
        <w:bidi w:val="0"/>
        <w:adjustRightInd/>
        <w:snapToGrid/>
        <w:spacing w:line="584" w:lineRule="exact"/>
        <w:textAlignment w:val="auto"/>
        <w:rPr>
          <w:rFonts w:eastAsia="仿宋_GB2312"/>
          <w:sz w:val="32"/>
        </w:rPr>
      </w:pPr>
      <w:r>
        <w:rPr>
          <w:rFonts w:eastAsia="仿宋_GB2312"/>
          <w:sz w:val="32"/>
        </w:rPr>
        <w:t>认真做好疾病预防控制和卫生监督工作</w:t>
      </w:r>
    </w:p>
    <w:p>
      <w:pPr>
        <w:pStyle w:val="19"/>
        <w:keepNext w:val="0"/>
        <w:keepLines w:val="0"/>
        <w:pageBreakBefore w:val="0"/>
        <w:widowControl w:val="0"/>
        <w:kinsoku/>
        <w:wordWrap/>
        <w:overflowPunct/>
        <w:topLinePunct w:val="0"/>
        <w:autoSpaceDE/>
        <w:autoSpaceDN/>
        <w:bidi w:val="0"/>
        <w:adjustRightInd/>
        <w:snapToGrid/>
        <w:spacing w:line="584" w:lineRule="exact"/>
        <w:textAlignment w:val="auto"/>
        <w:rPr>
          <w:rFonts w:eastAsia="仿宋_GB2312"/>
          <w:sz w:val="32"/>
        </w:rPr>
      </w:pPr>
      <w:r>
        <w:rPr>
          <w:rFonts w:eastAsia="仿宋_GB2312"/>
          <w:sz w:val="32"/>
        </w:rPr>
        <w:t>绩效目标：一是全力做好疾控工作。做好慢性病、严重精神障碍、地方病、结核病、艾滋病等疾病预防控制工作，提高重点疾病监测水平，有效落实疾病防控措施;二是保障卫生法律法规落实，提升卫生工作规范化和法制化水平。</w:t>
      </w:r>
    </w:p>
    <w:p>
      <w:pPr>
        <w:pStyle w:val="19"/>
        <w:keepNext w:val="0"/>
        <w:keepLines w:val="0"/>
        <w:pageBreakBefore w:val="0"/>
        <w:widowControl w:val="0"/>
        <w:kinsoku/>
        <w:wordWrap/>
        <w:overflowPunct/>
        <w:topLinePunct w:val="0"/>
        <w:autoSpaceDE/>
        <w:autoSpaceDN/>
        <w:bidi w:val="0"/>
        <w:adjustRightInd/>
        <w:snapToGrid/>
        <w:spacing w:line="584" w:lineRule="exact"/>
        <w:textAlignment w:val="auto"/>
        <w:rPr>
          <w:rFonts w:eastAsia="仿宋_GB2312"/>
          <w:sz w:val="32"/>
        </w:rPr>
      </w:pPr>
      <w:r>
        <w:rPr>
          <w:rFonts w:eastAsia="仿宋_GB2312"/>
          <w:sz w:val="32"/>
        </w:rPr>
        <w:t>绩效指标：完成各项指标，达到相对应预期，确保项目顺利完成。</w:t>
      </w:r>
    </w:p>
    <w:p>
      <w:pPr>
        <w:keepNext w:val="0"/>
        <w:keepLines w:val="0"/>
        <w:pageBreakBefore w:val="0"/>
        <w:widowControl w:val="0"/>
        <w:kinsoku/>
        <w:wordWrap/>
        <w:overflowPunct/>
        <w:topLinePunct w:val="0"/>
        <w:autoSpaceDE/>
        <w:autoSpaceDN/>
        <w:bidi w:val="0"/>
        <w:adjustRightInd/>
        <w:snapToGrid/>
        <w:spacing w:line="584" w:lineRule="exact"/>
        <w:ind w:firstLine="643" w:firstLineChars="200"/>
        <w:textAlignment w:val="auto"/>
        <w:rPr>
          <w:rFonts w:ascii="楷体_GB2312" w:eastAsia="楷体_GB2312" w:cs="Times New Roman"/>
          <w:b/>
          <w:sz w:val="32"/>
          <w:szCs w:val="32"/>
        </w:rPr>
      </w:pPr>
      <w:r>
        <w:rPr>
          <w:rFonts w:hint="eastAsia" w:ascii="楷体_GB2312" w:eastAsia="楷体_GB2312" w:cs="Times New Roman"/>
          <w:b/>
          <w:sz w:val="32"/>
          <w:szCs w:val="32"/>
        </w:rPr>
        <w:t>（三）工作保障措施</w:t>
      </w:r>
    </w:p>
    <w:p>
      <w:pPr>
        <w:pStyle w:val="20"/>
        <w:keepNext w:val="0"/>
        <w:keepLines w:val="0"/>
        <w:pageBreakBefore w:val="0"/>
        <w:widowControl w:val="0"/>
        <w:kinsoku/>
        <w:wordWrap/>
        <w:overflowPunct/>
        <w:topLinePunct w:val="0"/>
        <w:autoSpaceDE/>
        <w:autoSpaceDN/>
        <w:bidi w:val="0"/>
        <w:adjustRightInd/>
        <w:snapToGrid/>
        <w:spacing w:line="584" w:lineRule="exact"/>
        <w:textAlignment w:val="auto"/>
        <w:rPr>
          <w:rFonts w:eastAsia="仿宋_GB2312"/>
          <w:sz w:val="32"/>
        </w:rPr>
      </w:pPr>
      <w:r>
        <w:rPr>
          <w:rFonts w:eastAsia="仿宋_GB2312"/>
          <w:sz w:val="32"/>
        </w:rPr>
        <w:t>完善制度建设，加强制度管理，严格贯彻落实中央八项规定和厉行节约的要求，牢固树立过“紧日子”的思想，坚持从严从紧编制预算，无论日常的专项工作经费，还是项目经费，都严格按标准执行，厉行节约反对浪费，使资金充分发挥最大效益。</w:t>
      </w:r>
    </w:p>
    <w:p>
      <w:pPr>
        <w:overflowPunct w:val="0"/>
        <w:adjustRightInd w:val="0"/>
        <w:snapToGrid w:val="0"/>
        <w:spacing w:after="156" w:afterLines="50" w:line="580" w:lineRule="exact"/>
        <w:ind w:firstLine="630" w:firstLineChars="196"/>
        <w:jc w:val="left"/>
        <w:rPr>
          <w:rFonts w:hint="eastAsia" w:ascii="楷体_GB2312" w:eastAsia="楷体_GB2312" w:cs="Times New Roman"/>
          <w:b/>
          <w:sz w:val="32"/>
          <w:szCs w:val="32"/>
        </w:rPr>
      </w:pPr>
    </w:p>
    <w:p>
      <w:pPr>
        <w:overflowPunct w:val="0"/>
        <w:adjustRightInd w:val="0"/>
        <w:snapToGrid w:val="0"/>
        <w:spacing w:after="156" w:afterLines="50" w:line="580" w:lineRule="exact"/>
        <w:ind w:firstLine="630" w:firstLineChars="196"/>
        <w:jc w:val="left"/>
        <w:rPr>
          <w:rFonts w:hint="eastAsia" w:ascii="楷体_GB2312" w:eastAsia="楷体_GB2312" w:cs="Times New Roman"/>
          <w:b/>
          <w:sz w:val="32"/>
          <w:szCs w:val="32"/>
        </w:rPr>
      </w:pPr>
    </w:p>
    <w:p>
      <w:pPr>
        <w:overflowPunct w:val="0"/>
        <w:adjustRightInd w:val="0"/>
        <w:snapToGrid w:val="0"/>
        <w:spacing w:after="156" w:afterLines="50" w:line="580" w:lineRule="exact"/>
        <w:ind w:firstLine="630" w:firstLineChars="196"/>
        <w:jc w:val="left"/>
        <w:rPr>
          <w:rFonts w:hint="eastAsia" w:ascii="楷体_GB2312" w:eastAsia="楷体_GB2312" w:cs="Times New Roman"/>
          <w:b/>
          <w:sz w:val="32"/>
          <w:szCs w:val="32"/>
        </w:rPr>
      </w:pPr>
    </w:p>
    <w:p>
      <w:pPr>
        <w:overflowPunct w:val="0"/>
        <w:adjustRightInd w:val="0"/>
        <w:snapToGrid w:val="0"/>
        <w:spacing w:after="156" w:afterLines="50" w:line="580" w:lineRule="exact"/>
        <w:ind w:firstLine="630" w:firstLineChars="196"/>
        <w:jc w:val="left"/>
        <w:rPr>
          <w:rFonts w:ascii="楷体_GB2312" w:eastAsia="楷体_GB2312" w:cs="Times New Roman"/>
          <w:b/>
          <w:sz w:val="32"/>
          <w:szCs w:val="32"/>
        </w:rPr>
      </w:pPr>
      <w:r>
        <w:rPr>
          <w:rFonts w:hint="eastAsia" w:ascii="楷体_GB2312" w:eastAsia="楷体_GB2312" w:cs="Times New Roman"/>
          <w:b/>
          <w:sz w:val="32"/>
          <w:szCs w:val="32"/>
        </w:rPr>
        <w:t>（四）</w:t>
      </w:r>
      <w:r>
        <w:rPr>
          <w:rFonts w:hint="eastAsia" w:ascii="楷体_GB2312" w:eastAsia="楷体_GB2312" w:cs="Times New Roman"/>
          <w:b/>
          <w:sz w:val="32"/>
          <w:szCs w:val="32"/>
          <w:lang w:eastAsia="zh-CN"/>
        </w:rPr>
        <w:t>单位</w:t>
      </w:r>
      <w:r>
        <w:rPr>
          <w:rFonts w:hint="eastAsia" w:ascii="楷体_GB2312" w:eastAsia="楷体_GB2312" w:cs="Times New Roman"/>
          <w:b/>
          <w:sz w:val="32"/>
          <w:szCs w:val="32"/>
        </w:rPr>
        <w:t>整体支出绩效指标</w:t>
      </w:r>
    </w:p>
    <w:tbl>
      <w:tblPr>
        <w:tblStyle w:val="8"/>
        <w:tblW w:w="8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558"/>
        <w:gridCol w:w="825"/>
        <w:gridCol w:w="897"/>
        <w:gridCol w:w="2172"/>
        <w:gridCol w:w="1483"/>
        <w:gridCol w:w="543"/>
        <w:gridCol w:w="488"/>
        <w:gridCol w:w="573"/>
        <w:gridCol w:w="12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26" w:hRule="atLeast"/>
          <w:tblHeader/>
          <w:jc w:val="center"/>
        </w:trPr>
        <w:tc>
          <w:tcPr>
            <w:tcW w:w="558"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一级指标</w:t>
            </w:r>
          </w:p>
        </w:tc>
        <w:tc>
          <w:tcPr>
            <w:tcW w:w="825"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二级</w:t>
            </w:r>
          </w:p>
          <w:p>
            <w:pPr>
              <w:widowControl/>
              <w:adjustRightInd w:val="0"/>
              <w:snapToGrid w:val="0"/>
              <w:jc w:val="center"/>
              <w:rPr>
                <w:rFonts w:ascii="方正书宋_GBK" w:eastAsia="方正书宋_GBK"/>
                <w:b/>
              </w:rPr>
            </w:pPr>
            <w:r>
              <w:rPr>
                <w:rFonts w:ascii="方正书宋_GBK" w:eastAsia="方正书宋_GBK"/>
                <w:b/>
              </w:rPr>
              <w:t>指标</w:t>
            </w:r>
          </w:p>
        </w:tc>
        <w:tc>
          <w:tcPr>
            <w:tcW w:w="897"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三级</w:t>
            </w:r>
          </w:p>
          <w:p>
            <w:pPr>
              <w:widowControl/>
              <w:adjustRightInd w:val="0"/>
              <w:snapToGrid w:val="0"/>
              <w:jc w:val="center"/>
              <w:rPr>
                <w:rFonts w:ascii="方正书宋_GBK" w:eastAsia="方正书宋_GBK"/>
                <w:b/>
              </w:rPr>
            </w:pPr>
            <w:r>
              <w:rPr>
                <w:rFonts w:ascii="方正书宋_GBK" w:eastAsia="方正书宋_GBK"/>
                <w:b/>
              </w:rPr>
              <w:t>指标</w:t>
            </w:r>
          </w:p>
        </w:tc>
        <w:tc>
          <w:tcPr>
            <w:tcW w:w="2172"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评（扣）分标准</w:t>
            </w:r>
          </w:p>
        </w:tc>
        <w:tc>
          <w:tcPr>
            <w:tcW w:w="1483"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绩效指标</w:t>
            </w:r>
          </w:p>
          <w:p>
            <w:pPr>
              <w:widowControl/>
              <w:adjustRightInd w:val="0"/>
              <w:snapToGrid w:val="0"/>
              <w:jc w:val="center"/>
              <w:rPr>
                <w:rFonts w:ascii="方正书宋_GBK" w:eastAsia="方正书宋_GBK"/>
                <w:b/>
              </w:rPr>
            </w:pPr>
            <w:r>
              <w:rPr>
                <w:rFonts w:ascii="方正书宋_GBK" w:eastAsia="方正书宋_GBK"/>
                <w:b/>
              </w:rPr>
              <w:t>描述</w:t>
            </w:r>
          </w:p>
        </w:tc>
        <w:tc>
          <w:tcPr>
            <w:tcW w:w="1604" w:type="dxa"/>
            <w:gridSpan w:val="3"/>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指标值</w:t>
            </w:r>
          </w:p>
        </w:tc>
        <w:tc>
          <w:tcPr>
            <w:tcW w:w="1277"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指标值</w:t>
            </w:r>
          </w:p>
          <w:p>
            <w:pPr>
              <w:widowControl/>
              <w:adjustRightInd w:val="0"/>
              <w:snapToGrid w:val="0"/>
              <w:jc w:val="center"/>
              <w:rPr>
                <w:rFonts w:ascii="方正书宋_GBK" w:eastAsia="方正书宋_GBK"/>
                <w:b/>
              </w:rPr>
            </w:pPr>
            <w:r>
              <w:rPr>
                <w:rFonts w:ascii="方正书宋_GBK" w:eastAsia="方正书宋_GBK"/>
                <w:b/>
              </w:rPr>
              <w:t>确定依据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33" w:hRule="atLeast"/>
          <w:tblHeader/>
          <w:jc w:val="center"/>
        </w:trPr>
        <w:tc>
          <w:tcPr>
            <w:tcW w:w="558" w:type="dxa"/>
            <w:vMerge w:val="continue"/>
            <w:tcBorders>
              <w:tl2br w:val="nil"/>
              <w:tr2bl w:val="nil"/>
            </w:tcBorders>
            <w:vAlign w:val="center"/>
          </w:tcPr>
          <w:p/>
        </w:tc>
        <w:tc>
          <w:tcPr>
            <w:tcW w:w="825" w:type="dxa"/>
            <w:vMerge w:val="continue"/>
            <w:tcBorders>
              <w:tl2br w:val="nil"/>
              <w:tr2bl w:val="nil"/>
            </w:tcBorders>
            <w:vAlign w:val="center"/>
          </w:tcPr>
          <w:p/>
        </w:tc>
        <w:tc>
          <w:tcPr>
            <w:tcW w:w="897" w:type="dxa"/>
            <w:vMerge w:val="continue"/>
            <w:tcBorders>
              <w:tl2br w:val="nil"/>
              <w:tr2bl w:val="nil"/>
            </w:tcBorders>
            <w:vAlign w:val="center"/>
          </w:tcPr>
          <w:p/>
        </w:tc>
        <w:tc>
          <w:tcPr>
            <w:tcW w:w="2172" w:type="dxa"/>
            <w:vMerge w:val="continue"/>
            <w:tcBorders>
              <w:tl2br w:val="nil"/>
              <w:tr2bl w:val="nil"/>
            </w:tcBorders>
            <w:vAlign w:val="center"/>
          </w:tcPr>
          <w:p/>
        </w:tc>
        <w:tc>
          <w:tcPr>
            <w:tcW w:w="1483" w:type="dxa"/>
            <w:vMerge w:val="continue"/>
            <w:tcBorders>
              <w:tl2br w:val="nil"/>
              <w:tr2bl w:val="nil"/>
            </w:tcBorders>
            <w:vAlign w:val="center"/>
          </w:tcPr>
          <w:p/>
        </w:tc>
        <w:tc>
          <w:tcPr>
            <w:tcW w:w="543"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符号</w:t>
            </w:r>
          </w:p>
        </w:tc>
        <w:tc>
          <w:tcPr>
            <w:tcW w:w="488"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值</w:t>
            </w:r>
          </w:p>
        </w:tc>
        <w:tc>
          <w:tcPr>
            <w:tcW w:w="573"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单位</w:t>
            </w:r>
          </w:p>
        </w:tc>
        <w:tc>
          <w:tcPr>
            <w:tcW w:w="1277" w:type="dxa"/>
            <w:vMerge w:val="continue"/>
            <w:tcBorders>
              <w:tl2br w:val="nil"/>
              <w:tr2bl w:val="nil"/>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94" w:hRule="atLeast"/>
          <w:jc w:val="center"/>
        </w:trPr>
        <w:tc>
          <w:tcPr>
            <w:tcW w:w="558" w:type="dxa"/>
            <w:vMerge w:val="restart"/>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r>
              <w:rPr>
                <w:rFonts w:hint="eastAsia" w:ascii="Times New Roman" w:hAnsi="Times New Roman" w:eastAsia="仿宋_GB2312" w:cs="Calibri"/>
                <w:i w:val="0"/>
                <w:iCs w:val="0"/>
                <w:color w:val="000000"/>
                <w:kern w:val="0"/>
                <w:sz w:val="21"/>
                <w:szCs w:val="22"/>
                <w:u w:val="none"/>
                <w:lang w:val="en-US" w:eastAsia="zh-CN" w:bidi="ar"/>
              </w:rPr>
              <w:t>单位</w:t>
            </w:r>
            <w:r>
              <w:rPr>
                <w:rFonts w:hint="default" w:ascii="Times New Roman" w:hAnsi="Times New Roman" w:eastAsia="仿宋_GB2312" w:cs="Calibri"/>
                <w:i w:val="0"/>
                <w:iCs w:val="0"/>
                <w:color w:val="000000"/>
                <w:kern w:val="0"/>
                <w:sz w:val="21"/>
                <w:szCs w:val="22"/>
                <w:u w:val="none"/>
                <w:lang w:val="en-US" w:eastAsia="zh-CN" w:bidi="ar"/>
              </w:rPr>
              <w:t>产出</w:t>
            </w:r>
          </w:p>
        </w:tc>
        <w:tc>
          <w:tcPr>
            <w:tcW w:w="825" w:type="dxa"/>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r>
              <w:rPr>
                <w:rFonts w:hint="default" w:ascii="Times New Roman" w:hAnsi="Times New Roman" w:eastAsia="仿宋_GB2312" w:cs="Calibri"/>
                <w:i w:val="0"/>
                <w:iCs w:val="0"/>
                <w:color w:val="000000"/>
                <w:kern w:val="0"/>
                <w:sz w:val="21"/>
                <w:szCs w:val="22"/>
                <w:u w:val="none"/>
                <w:lang w:val="en-US" w:eastAsia="zh-CN" w:bidi="ar"/>
              </w:rPr>
              <w:t>数量</w:t>
            </w:r>
          </w:p>
        </w:tc>
        <w:tc>
          <w:tcPr>
            <w:tcW w:w="89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卫生系统预算单位个数</w:t>
            </w:r>
          </w:p>
        </w:tc>
        <w:tc>
          <w:tcPr>
            <w:tcW w:w="2172"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完成绩效目标得15分:未完成的同比例扣除</w:t>
            </w:r>
          </w:p>
        </w:tc>
        <w:tc>
          <w:tcPr>
            <w:tcW w:w="148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卫生系统预算单位个数</w:t>
            </w:r>
          </w:p>
        </w:tc>
        <w:tc>
          <w:tcPr>
            <w:tcW w:w="54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w:t>
            </w:r>
          </w:p>
        </w:tc>
        <w:tc>
          <w:tcPr>
            <w:tcW w:w="488"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11</w:t>
            </w:r>
          </w:p>
        </w:tc>
        <w:tc>
          <w:tcPr>
            <w:tcW w:w="57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个</w:t>
            </w:r>
          </w:p>
        </w:tc>
        <w:tc>
          <w:tcPr>
            <w:tcW w:w="127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continue"/>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p>
        </w:tc>
        <w:tc>
          <w:tcPr>
            <w:tcW w:w="825" w:type="dxa"/>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r>
              <w:rPr>
                <w:rFonts w:hint="default" w:ascii="Times New Roman" w:hAnsi="Times New Roman" w:eastAsia="仿宋_GB2312" w:cs="Calibri"/>
                <w:i w:val="0"/>
                <w:iCs w:val="0"/>
                <w:color w:val="000000"/>
                <w:kern w:val="0"/>
                <w:sz w:val="21"/>
                <w:szCs w:val="22"/>
                <w:u w:val="none"/>
                <w:lang w:val="en-US" w:eastAsia="zh-CN" w:bidi="ar"/>
              </w:rPr>
              <w:t>质量</w:t>
            </w:r>
          </w:p>
        </w:tc>
        <w:tc>
          <w:tcPr>
            <w:tcW w:w="89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发放率</w:t>
            </w:r>
          </w:p>
        </w:tc>
        <w:tc>
          <w:tcPr>
            <w:tcW w:w="2172"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完成绩效目标得15分:未完成的同比例扣除</w:t>
            </w:r>
          </w:p>
        </w:tc>
        <w:tc>
          <w:tcPr>
            <w:tcW w:w="148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发放率</w:t>
            </w:r>
          </w:p>
        </w:tc>
        <w:tc>
          <w:tcPr>
            <w:tcW w:w="54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w:t>
            </w:r>
          </w:p>
        </w:tc>
        <w:tc>
          <w:tcPr>
            <w:tcW w:w="488"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100</w:t>
            </w:r>
          </w:p>
        </w:tc>
        <w:tc>
          <w:tcPr>
            <w:tcW w:w="57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w:t>
            </w:r>
          </w:p>
        </w:tc>
        <w:tc>
          <w:tcPr>
            <w:tcW w:w="127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保障实际情况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458" w:hRule="atLeast"/>
          <w:jc w:val="center"/>
        </w:trPr>
        <w:tc>
          <w:tcPr>
            <w:tcW w:w="558" w:type="dxa"/>
            <w:vMerge w:val="continue"/>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p>
        </w:tc>
        <w:tc>
          <w:tcPr>
            <w:tcW w:w="825" w:type="dxa"/>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r>
              <w:rPr>
                <w:rFonts w:hint="default" w:ascii="Times New Roman" w:hAnsi="Times New Roman" w:eastAsia="仿宋_GB2312" w:cs="Calibri"/>
                <w:i w:val="0"/>
                <w:iCs w:val="0"/>
                <w:color w:val="000000"/>
                <w:kern w:val="0"/>
                <w:sz w:val="21"/>
                <w:szCs w:val="22"/>
                <w:u w:val="none"/>
                <w:lang w:val="en-US" w:eastAsia="zh-CN" w:bidi="ar"/>
              </w:rPr>
              <w:t>时效</w:t>
            </w:r>
          </w:p>
        </w:tc>
        <w:tc>
          <w:tcPr>
            <w:tcW w:w="89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完成时间</w:t>
            </w:r>
          </w:p>
        </w:tc>
        <w:tc>
          <w:tcPr>
            <w:tcW w:w="2172"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完成绩效目标得15分:未完成的同比例扣除</w:t>
            </w:r>
          </w:p>
        </w:tc>
        <w:tc>
          <w:tcPr>
            <w:tcW w:w="148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项目完成时间</w:t>
            </w:r>
          </w:p>
        </w:tc>
        <w:tc>
          <w:tcPr>
            <w:tcW w:w="54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文字描述</w:t>
            </w:r>
          </w:p>
        </w:tc>
        <w:tc>
          <w:tcPr>
            <w:tcW w:w="488" w:type="dxa"/>
            <w:tcBorders>
              <w:tl2br w:val="nil"/>
              <w:tr2bl w:val="nil"/>
            </w:tcBorders>
            <w:vAlign w:val="center"/>
          </w:tcPr>
          <w:p>
            <w:pPr>
              <w:jc w:val="center"/>
              <w:rPr>
                <w:rFonts w:ascii="方正书宋_GBK" w:eastAsia="方正书宋_GBK"/>
              </w:rPr>
            </w:pPr>
          </w:p>
        </w:tc>
        <w:tc>
          <w:tcPr>
            <w:tcW w:w="57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按时完成</w:t>
            </w:r>
          </w:p>
        </w:tc>
        <w:tc>
          <w:tcPr>
            <w:tcW w:w="127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continue"/>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p>
        </w:tc>
        <w:tc>
          <w:tcPr>
            <w:tcW w:w="825" w:type="dxa"/>
            <w:vMerge w:val="restart"/>
            <w:tcBorders>
              <w:tl2br w:val="nil"/>
              <w:tr2bl w:val="nil"/>
            </w:tcBorders>
            <w:vAlign w:val="center"/>
          </w:tcPr>
          <w:p>
            <w:pPr>
              <w:keepNext w:val="0"/>
              <w:keepLines w:val="0"/>
              <w:widowControl/>
              <w:suppressLineNumbers w:val="0"/>
              <w:jc w:val="center"/>
              <w:textAlignment w:val="top"/>
              <w:rPr>
                <w:rFonts w:hint="default" w:ascii="Times New Roman" w:hAnsi="Times New Roman" w:eastAsia="仿宋_GB2312" w:cs="Calibri"/>
                <w:i w:val="0"/>
                <w:iCs w:val="0"/>
                <w:color w:val="000000"/>
                <w:kern w:val="0"/>
                <w:sz w:val="21"/>
                <w:szCs w:val="22"/>
                <w:u w:val="none"/>
                <w:lang w:val="en-US" w:eastAsia="zh-CN" w:bidi="ar"/>
              </w:rPr>
            </w:pPr>
            <w:r>
              <w:rPr>
                <w:rFonts w:hint="default" w:ascii="Times New Roman" w:hAnsi="Times New Roman" w:eastAsia="仿宋_GB2312" w:cs="Calibri"/>
                <w:i w:val="0"/>
                <w:iCs w:val="0"/>
                <w:color w:val="000000"/>
                <w:kern w:val="0"/>
                <w:sz w:val="21"/>
                <w:szCs w:val="22"/>
                <w:u w:val="none"/>
                <w:lang w:val="en-US" w:eastAsia="zh-CN" w:bidi="ar"/>
              </w:rPr>
              <w:t>成本</w:t>
            </w:r>
          </w:p>
        </w:tc>
        <w:tc>
          <w:tcPr>
            <w:tcW w:w="89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人员类项目费用</w:t>
            </w:r>
          </w:p>
        </w:tc>
        <w:tc>
          <w:tcPr>
            <w:tcW w:w="2172"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完成绩效目标得15分:未完成的同比例扣除</w:t>
            </w:r>
          </w:p>
        </w:tc>
        <w:tc>
          <w:tcPr>
            <w:tcW w:w="148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人员类项目费用</w:t>
            </w:r>
          </w:p>
        </w:tc>
        <w:tc>
          <w:tcPr>
            <w:tcW w:w="54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w:t>
            </w:r>
          </w:p>
        </w:tc>
        <w:tc>
          <w:tcPr>
            <w:tcW w:w="488"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1875.98</w:t>
            </w:r>
          </w:p>
        </w:tc>
        <w:tc>
          <w:tcPr>
            <w:tcW w:w="57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万元</w:t>
            </w:r>
          </w:p>
        </w:tc>
        <w:tc>
          <w:tcPr>
            <w:tcW w:w="127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预算文本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continue"/>
            <w:tcBorders>
              <w:tl2br w:val="nil"/>
              <w:tr2bl w:val="nil"/>
            </w:tcBorders>
            <w:vAlign w:val="center"/>
          </w:tcPr>
          <w:p>
            <w:pPr>
              <w:rPr>
                <w:rFonts w:ascii="方正书宋_GBK" w:eastAsia="方正书宋_GBK"/>
              </w:rPr>
            </w:pPr>
          </w:p>
        </w:tc>
        <w:tc>
          <w:tcPr>
            <w:tcW w:w="825" w:type="dxa"/>
            <w:vMerge w:val="continue"/>
            <w:tcBorders>
              <w:tl2br w:val="nil"/>
              <w:tr2bl w:val="nil"/>
            </w:tcBorders>
            <w:vAlign w:val="center"/>
          </w:tcPr>
          <w:p>
            <w:pPr>
              <w:widowControl/>
              <w:adjustRightInd w:val="0"/>
              <w:snapToGrid w:val="0"/>
              <w:jc w:val="center"/>
              <w:rPr>
                <w:rFonts w:ascii="方正书宋_GBK" w:eastAsia="方正书宋_GBK"/>
              </w:rPr>
            </w:pPr>
          </w:p>
        </w:tc>
        <w:tc>
          <w:tcPr>
            <w:tcW w:w="89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公用类项目费用</w:t>
            </w:r>
          </w:p>
        </w:tc>
        <w:tc>
          <w:tcPr>
            <w:tcW w:w="2172"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完成绩效目标得15分:未完成的同比例扣除</w:t>
            </w:r>
          </w:p>
        </w:tc>
        <w:tc>
          <w:tcPr>
            <w:tcW w:w="148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公用类项目费用</w:t>
            </w:r>
          </w:p>
        </w:tc>
        <w:tc>
          <w:tcPr>
            <w:tcW w:w="54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w:t>
            </w:r>
          </w:p>
        </w:tc>
        <w:tc>
          <w:tcPr>
            <w:tcW w:w="488"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247.3</w:t>
            </w:r>
          </w:p>
        </w:tc>
        <w:tc>
          <w:tcPr>
            <w:tcW w:w="573"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万元</w:t>
            </w:r>
          </w:p>
        </w:tc>
        <w:tc>
          <w:tcPr>
            <w:tcW w:w="1277" w:type="dxa"/>
            <w:tcBorders>
              <w:tl2br w:val="nil"/>
              <w:tr2bl w:val="nil"/>
            </w:tcBorders>
            <w:vAlign w:val="center"/>
          </w:tcPr>
          <w:p>
            <w:pPr>
              <w:keepNext w:val="0"/>
              <w:keepLines w:val="0"/>
              <w:widowControl/>
              <w:suppressLineNumbers w:val="0"/>
              <w:jc w:val="center"/>
              <w:textAlignment w:val="top"/>
              <w:rPr>
                <w:rFonts w:ascii="方正书宋_GBK" w:eastAsia="方正书宋_GBK"/>
              </w:rPr>
            </w:pPr>
            <w:r>
              <w:rPr>
                <w:rFonts w:hint="default" w:ascii="Times New Roman" w:hAnsi="Times New Roman" w:eastAsia="仿宋_GB2312" w:cs="Calibri"/>
                <w:i w:val="0"/>
                <w:iCs w:val="0"/>
                <w:color w:val="000000"/>
                <w:kern w:val="0"/>
                <w:sz w:val="21"/>
                <w:szCs w:val="22"/>
                <w:u w:val="none"/>
                <w:lang w:val="en-US" w:eastAsia="zh-CN" w:bidi="ar"/>
              </w:rPr>
              <w:t>预算文本</w:t>
            </w:r>
          </w:p>
        </w:tc>
      </w:tr>
    </w:tbl>
    <w:p>
      <w:pPr>
        <w:spacing w:line="584" w:lineRule="exact"/>
        <w:rPr>
          <w:rFonts w:ascii="仿宋_GB2312" w:eastAsia="仿宋_GB2312" w:cs="Times New Roman"/>
          <w:sz w:val="32"/>
          <w:szCs w:val="32"/>
        </w:rPr>
      </w:pPr>
    </w:p>
    <w:p>
      <w:pPr>
        <w:spacing w:line="584" w:lineRule="exact"/>
        <w:ind w:firstLine="640" w:firstLineChars="200"/>
        <w:rPr>
          <w:rFonts w:hint="eastAsia" w:ascii="Times New Roman" w:hAnsi="Times New Roman" w:eastAsia="黑体" w:cs="Times New Roman"/>
          <w:sz w:val="32"/>
          <w:szCs w:val="32"/>
        </w:rPr>
      </w:pPr>
    </w:p>
    <w:p>
      <w:pPr>
        <w:spacing w:line="584" w:lineRule="exact"/>
        <w:ind w:firstLine="640" w:firstLineChars="200"/>
        <w:rPr>
          <w:rFonts w:hint="eastAsia" w:ascii="Times New Roman" w:hAnsi="Times New Roman" w:eastAsia="黑体" w:cs="Times New Roman"/>
          <w:sz w:val="32"/>
          <w:szCs w:val="32"/>
        </w:rPr>
      </w:pPr>
    </w:p>
    <w:p>
      <w:pPr>
        <w:spacing w:line="584" w:lineRule="exact"/>
        <w:ind w:firstLine="640" w:firstLineChars="200"/>
        <w:rPr>
          <w:rFonts w:hint="eastAsia" w:ascii="Times New Roman" w:hAnsi="Times New Roman" w:eastAsia="黑体" w:cs="Times New Roman"/>
          <w:sz w:val="32"/>
          <w:szCs w:val="32"/>
        </w:rPr>
      </w:pPr>
    </w:p>
    <w:p>
      <w:pPr>
        <w:spacing w:line="584" w:lineRule="exact"/>
        <w:ind w:firstLine="640" w:firstLineChars="200"/>
        <w:rPr>
          <w:rFonts w:hint="eastAsia" w:ascii="Times New Roman" w:hAnsi="Times New Roman" w:eastAsia="黑体" w:cs="Times New Roman"/>
          <w:sz w:val="32"/>
          <w:szCs w:val="32"/>
        </w:rPr>
      </w:pPr>
    </w:p>
    <w:p>
      <w:pPr>
        <w:spacing w:line="584" w:lineRule="exact"/>
        <w:ind w:firstLine="640" w:firstLineChars="200"/>
        <w:rPr>
          <w:rFonts w:hint="eastAsia" w:ascii="Times New Roman" w:hAnsi="Times New Roman" w:eastAsia="黑体" w:cs="Times New Roman"/>
          <w:sz w:val="32"/>
          <w:szCs w:val="32"/>
        </w:rPr>
      </w:pPr>
    </w:p>
    <w:p>
      <w:pPr>
        <w:spacing w:line="584" w:lineRule="exact"/>
        <w:ind w:firstLine="640" w:firstLineChars="200"/>
        <w:rPr>
          <w:rFonts w:hint="eastAsia" w:ascii="Times New Roman" w:hAnsi="Times New Roman" w:eastAsia="黑体" w:cs="Times New Roman"/>
          <w:sz w:val="32"/>
          <w:szCs w:val="32"/>
        </w:rPr>
      </w:pPr>
    </w:p>
    <w:p>
      <w:pPr>
        <w:spacing w:line="584"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第二部分 资金绩效目标</w:t>
      </w:r>
    </w:p>
    <w:p>
      <w:pPr>
        <w:spacing w:before="0" w:after="0"/>
        <w:ind w:firstLine="560"/>
        <w:jc w:val="left"/>
        <w:outlineLvl w:val="3"/>
        <w:rPr>
          <w:rFonts w:hint="eastAsia" w:ascii="仿宋_GB2312" w:hAnsi="仿宋_GB2312" w:eastAsia="仿宋_GB2312" w:cs="仿宋_GB2312"/>
        </w:rPr>
      </w:pPr>
      <w:bookmarkStart w:id="0" w:name="_Toc_4_4_0000000041"/>
      <w:r>
        <w:rPr>
          <w:rFonts w:hint="eastAsia" w:ascii="仿宋_GB2312" w:hAnsi="仿宋_GB2312" w:eastAsia="仿宋_GB2312" w:cs="仿宋_GB2312"/>
          <w:color w:val="000000"/>
          <w:sz w:val="28"/>
          <w:lang w:val="en-US" w:eastAsia="zh-CN"/>
        </w:rPr>
        <w:t>1</w:t>
      </w:r>
      <w:r>
        <w:rPr>
          <w:rFonts w:hint="eastAsia" w:ascii="仿宋_GB2312" w:hAnsi="仿宋_GB2312" w:eastAsia="仿宋_GB2312" w:cs="仿宋_GB2312"/>
          <w:color w:val="000000"/>
          <w:sz w:val="28"/>
        </w:rPr>
        <w:t>.疾病监测实验室检测经费绩效目标表</w:t>
      </w:r>
      <w:bookmarkEnd w:id="0"/>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1362"/>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绩效目标</w:t>
            </w:r>
          </w:p>
        </w:tc>
        <w:tc>
          <w:tcPr>
            <w:tcW w:w="1136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1.达到疾病预防控制工作区域绩效考核指标和省、市、县疾病预防控制机构绩效考核指标的考核要求</w:t>
            </w:r>
          </w:p>
        </w:tc>
      </w:tr>
    </w:tbl>
    <w:p>
      <w:pPr>
        <w:spacing w:before="0" w:after="0" w:line="2" w:lineRule="exact"/>
        <w:ind w:firstLine="0"/>
        <w:jc w:val="center"/>
        <w:outlineLvl w:val="9"/>
        <w:rPr>
          <w:rFonts w:hint="eastAsia" w:ascii="仿宋_GB2312" w:hAnsi="仿宋_GB2312" w:eastAsia="仿宋_GB2312" w:cs="仿宋_GB2312"/>
        </w:rPr>
      </w:pPr>
      <w:r>
        <w:rPr>
          <w:rFonts w:hint="eastAsia" w:ascii="仿宋_GB2312" w:hAnsi="仿宋_GB2312" w:eastAsia="仿宋_GB2312" w:cs="仿宋_GB2312"/>
          <w:color w:val="000000"/>
          <w:sz w:val="21"/>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130"/>
        <w:gridCol w:w="1843"/>
        <w:gridCol w:w="2982"/>
        <w:gridCol w:w="1897"/>
        <w:gridCol w:w="34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一级指标</w:t>
            </w:r>
          </w:p>
        </w:tc>
        <w:tc>
          <w:tcPr>
            <w:tcW w:w="1130"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二级指标</w:t>
            </w:r>
          </w:p>
        </w:tc>
        <w:tc>
          <w:tcPr>
            <w:tcW w:w="1843"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三级指标</w:t>
            </w:r>
          </w:p>
        </w:tc>
        <w:tc>
          <w:tcPr>
            <w:tcW w:w="2982"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绩效指标描述</w:t>
            </w:r>
          </w:p>
        </w:tc>
        <w:tc>
          <w:tcPr>
            <w:tcW w:w="189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指标值</w:t>
            </w:r>
          </w:p>
        </w:tc>
        <w:tc>
          <w:tcPr>
            <w:tcW w:w="3434"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restart"/>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产出指标</w:t>
            </w: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疾病监测（传染病、地方病）</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地方病年度监测方案2021年县级疾控年度综合考评指标</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≥100%</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地方病年度监测方案2021年县级疾控年度综合考评指标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食品水质安全风险监测</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2021年县级疾控年度综合考评指标廊坊市卫生健康委食品安全风险监测方案</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≥100%</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2021年县级疾控年度综合考评指标廊坊市卫生健康委食品安全风险监测方案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寄生虫监测检验</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2021年县级疾控年度综合考评指标</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≥100%</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2021年县级疾控年度综合考评指标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质量指标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实验结果准确性</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100%</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质量指标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仪器设备维护</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100%</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时效指标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实验结果及时性</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工作记录明细表</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项目时限要求（天）</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工作记录明细表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时效指标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机器设备日常维护</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维护日志</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≤30天</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维护日志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时效指标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机器设备日常维修</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报修记录及维修记录</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≤5工作日</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报修记录及维修记录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时效指标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废物处置</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医疗废物转移记录</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≤2工作日</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医疗废物转移记录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成本指标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耗材损耗率</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耗材全部有效使用</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100%</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耗材全部有效使用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成本指标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废物处置成本</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预算范围内</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预算范围内</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预算范围内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restart"/>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效益指标</w:t>
            </w: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社会效益指标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对传染病、食品安全、生活饮用水安全、地方病防治、寄生虫病检测提供技术支持</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对传染病、食品安全、生活饮用水安全、地方病防治、寄生虫病提供技术支持，保证各业务科室工作的顺利开展，维护辖区人民群众身体健康。</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对传染病、食品安全、生活饮用水安全、地方病防治、寄生虫病提供技术支持，保证各业务科室工作的顺利开展，维护辖区人民群众身体健康。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可持续影响指标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及时发现各项疾病及潜在的食品水质等公共卫生安全风险，保障本年度广阳区内公共卫生安全</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及时发现各项疾病及潜在的食品水质等公共卫生安全风险，保障本年度广阳区内公共卫生安全</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及时发现各项疾病及潜在的食品水质等公共卫生安全风险，保障本年度广阳区内公共卫生安全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满意度指标</w:t>
            </w:r>
          </w:p>
        </w:tc>
        <w:tc>
          <w:tcPr>
            <w:tcW w:w="1130"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服务对象满意度指标</w:t>
            </w:r>
          </w:p>
        </w:tc>
        <w:tc>
          <w:tcPr>
            <w:tcW w:w="184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群众满意度</w:t>
            </w:r>
          </w:p>
        </w:tc>
        <w:tc>
          <w:tcPr>
            <w:tcW w:w="298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满意度调查表</w:t>
            </w:r>
          </w:p>
        </w:tc>
        <w:tc>
          <w:tcPr>
            <w:tcW w:w="189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&lt;95%</w:t>
            </w:r>
          </w:p>
        </w:tc>
        <w:tc>
          <w:tcPr>
            <w:tcW w:w="343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满意度调查表</w:t>
            </w:r>
          </w:p>
        </w:tc>
      </w:tr>
    </w:tbl>
    <w:p>
      <w:pPr>
        <w:rPr>
          <w:rFonts w:hint="eastAsia" w:ascii="仿宋_GB2312" w:hAnsi="仿宋_GB2312" w:eastAsia="仿宋_GB2312" w:cs="仿宋_GB2312"/>
        </w:rPr>
        <w:sectPr>
          <w:pgSz w:w="16840" w:h="11900" w:orient="landscape"/>
          <w:pgMar w:top="1304" w:right="1984" w:bottom="1304" w:left="1134" w:header="720" w:footer="720" w:gutter="0"/>
          <w:cols w:space="720" w:num="1"/>
        </w:sectPr>
      </w:pPr>
    </w:p>
    <w:p>
      <w:pPr>
        <w:spacing w:before="0" w:after="0" w:line="240" w:lineRule="auto"/>
        <w:ind w:firstLine="0"/>
        <w:jc w:val="center"/>
        <w:outlineLvl w:val="9"/>
        <w:rPr>
          <w:rFonts w:hint="eastAsia" w:ascii="仿宋_GB2312" w:hAnsi="仿宋_GB2312" w:eastAsia="仿宋_GB2312" w:cs="仿宋_GB2312"/>
        </w:rPr>
      </w:pPr>
      <w:r>
        <w:rPr>
          <w:rFonts w:hint="eastAsia" w:ascii="仿宋_GB2312" w:hAnsi="仿宋_GB2312" w:eastAsia="仿宋_GB2312" w:cs="仿宋_GB2312"/>
          <w:color w:val="000000"/>
          <w:sz w:val="28"/>
        </w:rPr>
        <w:t xml:space="preserve"> </w:t>
      </w:r>
    </w:p>
    <w:p>
      <w:pPr>
        <w:spacing w:before="0" w:after="0"/>
        <w:ind w:firstLine="560"/>
        <w:jc w:val="left"/>
        <w:outlineLvl w:val="3"/>
        <w:rPr>
          <w:rFonts w:hint="eastAsia" w:ascii="仿宋_GB2312" w:hAnsi="仿宋_GB2312" w:eastAsia="仿宋_GB2312" w:cs="仿宋_GB2312"/>
        </w:rPr>
      </w:pPr>
      <w:bookmarkStart w:id="1" w:name="_Toc_4_4_0000000042"/>
      <w:r>
        <w:rPr>
          <w:rFonts w:hint="eastAsia" w:ascii="仿宋_GB2312" w:hAnsi="仿宋_GB2312" w:eastAsia="仿宋_GB2312" w:cs="仿宋_GB2312"/>
          <w:color w:val="000000"/>
          <w:sz w:val="28"/>
          <w:lang w:val="en-US" w:eastAsia="zh-CN"/>
        </w:rPr>
        <w:t>2</w:t>
      </w:r>
      <w:r>
        <w:rPr>
          <w:rFonts w:hint="eastAsia" w:ascii="仿宋_GB2312" w:hAnsi="仿宋_GB2312" w:eastAsia="仿宋_GB2312" w:cs="仿宋_GB2312"/>
          <w:color w:val="000000"/>
          <w:sz w:val="28"/>
        </w:rPr>
        <w:t>.廊坊市广阳区疾病预防控制中心新建项目专项资金绩效目标表</w:t>
      </w:r>
      <w:bookmarkEnd w:id="1"/>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7962"/>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绩效目标</w:t>
            </w:r>
          </w:p>
        </w:tc>
        <w:tc>
          <w:tcPr>
            <w:tcW w:w="7962"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1.通过项目的建设能进一步提高广阳区疾病防控和卫生监测能力，提高城市的基础设施水平，</w:t>
            </w:r>
          </w:p>
          <w:p>
            <w:pPr>
              <w:pStyle w:val="14"/>
              <w:rPr>
                <w:rFonts w:hint="eastAsia" w:ascii="仿宋_GB2312" w:hAnsi="仿宋_GB2312" w:eastAsia="仿宋_GB2312" w:cs="仿宋_GB2312"/>
              </w:rPr>
            </w:pPr>
            <w:r>
              <w:rPr>
                <w:rFonts w:hint="eastAsia" w:ascii="仿宋_GB2312" w:hAnsi="仿宋_GB2312" w:eastAsia="仿宋_GB2312" w:cs="仿宋_GB2312"/>
              </w:rPr>
              <w:t>2.通过项目的建设能进一步提高广阳区疾病防控和卫生监测能力，提升城市应对突发公共卫生事件的应对能力和公共卫生管理能力</w:t>
            </w:r>
          </w:p>
          <w:p>
            <w:pPr>
              <w:pStyle w:val="14"/>
              <w:rPr>
                <w:rFonts w:hint="eastAsia" w:ascii="仿宋_GB2312" w:hAnsi="仿宋_GB2312" w:eastAsia="仿宋_GB2312" w:cs="仿宋_GB2312"/>
              </w:rPr>
            </w:pPr>
            <w:r>
              <w:rPr>
                <w:rFonts w:hint="eastAsia" w:ascii="仿宋_GB2312" w:hAnsi="仿宋_GB2312" w:eastAsia="仿宋_GB2312" w:cs="仿宋_GB2312"/>
              </w:rPr>
              <w:t>3.通过项目的建设能进一步提高广阳区疾病防控和卫生监测能力，提高广阳区市民健康的保障水平。</w:t>
            </w:r>
          </w:p>
        </w:tc>
      </w:tr>
    </w:tbl>
    <w:p>
      <w:pPr>
        <w:spacing w:before="0" w:after="0" w:line="2" w:lineRule="exact"/>
        <w:ind w:firstLine="0"/>
        <w:jc w:val="center"/>
        <w:outlineLvl w:val="9"/>
        <w:rPr>
          <w:rFonts w:hint="eastAsia" w:ascii="仿宋_GB2312" w:hAnsi="仿宋_GB2312" w:eastAsia="仿宋_GB2312" w:cs="仿宋_GB2312"/>
        </w:rPr>
      </w:pPr>
      <w:r>
        <w:rPr>
          <w:rFonts w:hint="eastAsia" w:ascii="仿宋_GB2312" w:hAnsi="仿宋_GB2312" w:eastAsia="仿宋_GB2312" w:cs="仿宋_GB2312"/>
          <w:color w:val="000000"/>
          <w:sz w:val="21"/>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1153"/>
        <w:gridCol w:w="150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一级指标</w:t>
            </w:r>
          </w:p>
        </w:tc>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二级指标</w:t>
            </w:r>
          </w:p>
        </w:tc>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三级指标</w:t>
            </w:r>
          </w:p>
        </w:tc>
        <w:tc>
          <w:tcPr>
            <w:tcW w:w="2654"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绩效指标描述</w:t>
            </w:r>
          </w:p>
        </w:tc>
        <w:tc>
          <w:tcPr>
            <w:tcW w:w="1153"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指标值</w:t>
            </w:r>
          </w:p>
        </w:tc>
        <w:tc>
          <w:tcPr>
            <w:tcW w:w="1501"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restart"/>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产出指标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质量指标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综合楼建设质量达标率</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按照实施计划，完成的综合楼建设，质量达标情况</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≥95%</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时效指标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综合楼建设按时完成</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按照实施计划，按时完成的综合楼建设</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按时完成</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成本指标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项目预算控制数</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项目实际使用的预算金额</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35万元</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项目总建筑达标率</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按照实施计划，项目总建筑达标率</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≥95%</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restart"/>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效益指标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生态效益指标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广阳区形象提升度</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考察项目建成后广阳区整体形象提升情况</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明显改善</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可持续影响指标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功能科室发展持续性</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考察项目建成后各功能科室是否持续发展</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明显提升</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社会效益指标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医疗服务水平提升度</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考察项目建成后医疗服务水平的提升情况</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明显提升</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社会效益指标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医疗环境改善程度</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考察项目建成后医疗环境的改善程度</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提升区域疾病预防保障条件</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满意度指标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服务对象满意度指标</w:t>
            </w:r>
          </w:p>
        </w:tc>
        <w:tc>
          <w:tcPr>
            <w:tcW w:w="132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受益对象满意度</w:t>
            </w:r>
          </w:p>
        </w:tc>
        <w:tc>
          <w:tcPr>
            <w:tcW w:w="2654"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项目完成后受益对象对项目结果满意程度</w:t>
            </w:r>
          </w:p>
        </w:tc>
        <w:tc>
          <w:tcPr>
            <w:tcW w:w="1153"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≥90%</w:t>
            </w:r>
          </w:p>
        </w:tc>
        <w:tc>
          <w:tcPr>
            <w:tcW w:w="15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廊广发改【2021】9号</w:t>
            </w:r>
          </w:p>
        </w:tc>
      </w:tr>
    </w:tbl>
    <w:p>
      <w:pPr>
        <w:rPr>
          <w:rFonts w:hint="eastAsia" w:ascii="仿宋_GB2312" w:hAnsi="仿宋_GB2312" w:eastAsia="仿宋_GB2312" w:cs="仿宋_GB2312"/>
        </w:rPr>
        <w:sectPr>
          <w:pgSz w:w="16840" w:h="11900" w:orient="landscape"/>
          <w:pgMar w:top="1304" w:right="1984" w:bottom="1304" w:left="1134" w:header="720" w:footer="720" w:gutter="0"/>
          <w:cols w:space="720" w:num="1"/>
        </w:sectPr>
      </w:pPr>
    </w:p>
    <w:p>
      <w:pPr>
        <w:spacing w:before="0" w:after="0" w:line="240" w:lineRule="auto"/>
        <w:ind w:firstLine="0"/>
        <w:jc w:val="center"/>
        <w:outlineLvl w:val="9"/>
        <w:rPr>
          <w:rFonts w:hint="eastAsia" w:ascii="仿宋_GB2312" w:hAnsi="仿宋_GB2312" w:eastAsia="仿宋_GB2312" w:cs="仿宋_GB2312"/>
        </w:rPr>
      </w:pPr>
      <w:r>
        <w:rPr>
          <w:rFonts w:hint="eastAsia" w:ascii="仿宋_GB2312" w:hAnsi="仿宋_GB2312" w:eastAsia="仿宋_GB2312" w:cs="仿宋_GB2312"/>
          <w:color w:val="000000"/>
          <w:sz w:val="28"/>
        </w:rPr>
        <w:t xml:space="preserve"> </w:t>
      </w:r>
    </w:p>
    <w:p>
      <w:pPr>
        <w:spacing w:before="0" w:after="0"/>
        <w:ind w:firstLine="560"/>
        <w:jc w:val="left"/>
        <w:outlineLvl w:val="3"/>
        <w:rPr>
          <w:rFonts w:hint="eastAsia" w:ascii="仿宋_GB2312" w:hAnsi="仿宋_GB2312" w:eastAsia="仿宋_GB2312" w:cs="仿宋_GB2312"/>
        </w:rPr>
      </w:pPr>
      <w:bookmarkStart w:id="2" w:name="_Toc_4_4_0000000043"/>
      <w:r>
        <w:rPr>
          <w:rFonts w:hint="eastAsia" w:ascii="仿宋_GB2312" w:hAnsi="仿宋_GB2312" w:eastAsia="仿宋_GB2312" w:cs="仿宋_GB2312"/>
          <w:color w:val="000000"/>
          <w:sz w:val="28"/>
          <w:lang w:val="en-US" w:eastAsia="zh-CN"/>
        </w:rPr>
        <w:t>3</w:t>
      </w:r>
      <w:r>
        <w:rPr>
          <w:rFonts w:hint="eastAsia" w:ascii="仿宋_GB2312" w:hAnsi="仿宋_GB2312" w:eastAsia="仿宋_GB2312" w:cs="仿宋_GB2312"/>
          <w:color w:val="000000"/>
          <w:sz w:val="28"/>
        </w:rPr>
        <w:t>.慢性非传染性疾病防治经费绩效目标表</w:t>
      </w:r>
      <w:bookmarkEnd w:id="2"/>
    </w:p>
    <w:tbl>
      <w:tblPr>
        <w:tblStyle w:val="8"/>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0547"/>
      </w:tblGrid>
      <w:tr>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绩效目标</w:t>
            </w:r>
          </w:p>
        </w:tc>
        <w:tc>
          <w:tcPr>
            <w:tcW w:w="10547"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通过项目的开展实号召疾控机构和社会各界共同努力，积极倡导健康生活方式理念，以“三减三健”（减盐、减油、减糖、健康口腔、健康体重、健康骨骼）活动为切入点，积极营造健康支持性环境，科学传播健康知识，广泛传授健康技能，提升全民健康素质，大力开展健康支持性环境建设和丰富多样的健康教育宣传活动，培养健康生活方式指导员（效果目标）的达成使全民健康素养不断提升、健康技能不断普及、健康行动不断推广，降低慢性病发病率和死因率，提高居民健康知识知晓率和健康生活方式的普及率。</w:t>
            </w:r>
          </w:p>
        </w:tc>
      </w:tr>
    </w:tbl>
    <w:p>
      <w:pPr>
        <w:spacing w:before="0" w:after="0" w:line="2" w:lineRule="exact"/>
        <w:ind w:firstLine="0"/>
        <w:jc w:val="center"/>
        <w:outlineLvl w:val="9"/>
        <w:rPr>
          <w:rFonts w:hint="eastAsia" w:ascii="仿宋_GB2312" w:hAnsi="仿宋_GB2312" w:eastAsia="仿宋_GB2312" w:cs="仿宋_GB2312"/>
        </w:rPr>
      </w:pPr>
      <w:r>
        <w:rPr>
          <w:rFonts w:hint="eastAsia" w:ascii="仿宋_GB2312" w:hAnsi="仿宋_GB2312" w:eastAsia="仿宋_GB2312" w:cs="仿宋_GB2312"/>
          <w:color w:val="000000"/>
          <w:sz w:val="21"/>
        </w:rPr>
        <w:t xml:space="preserve"> </w:t>
      </w:r>
    </w:p>
    <w:tbl>
      <w:tblPr>
        <w:tblStyle w:val="8"/>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149"/>
        <w:gridCol w:w="1505"/>
        <w:gridCol w:w="3375"/>
        <w:gridCol w:w="1301"/>
        <w:gridCol w:w="323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327"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一级指标</w:t>
            </w:r>
          </w:p>
        </w:tc>
        <w:tc>
          <w:tcPr>
            <w:tcW w:w="1149"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二级指标</w:t>
            </w:r>
          </w:p>
        </w:tc>
        <w:tc>
          <w:tcPr>
            <w:tcW w:w="1505"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三级指标</w:t>
            </w:r>
          </w:p>
        </w:tc>
        <w:tc>
          <w:tcPr>
            <w:tcW w:w="3375"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绩效指标描述</w:t>
            </w:r>
          </w:p>
        </w:tc>
        <w:tc>
          <w:tcPr>
            <w:tcW w:w="1301"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指标值</w:t>
            </w:r>
          </w:p>
        </w:tc>
        <w:tc>
          <w:tcPr>
            <w:tcW w:w="3235" w:type="dxa"/>
            <w:vAlign w:val="center"/>
          </w:tcPr>
          <w:p>
            <w:pPr>
              <w:pStyle w:val="12"/>
              <w:rPr>
                <w:rFonts w:hint="eastAsia" w:ascii="仿宋_GB2312" w:hAnsi="仿宋_GB2312" w:eastAsia="仿宋_GB2312" w:cs="仿宋_GB2312"/>
              </w:rPr>
            </w:pPr>
            <w:r>
              <w:rPr>
                <w:rFonts w:hint="eastAsia" w:ascii="仿宋_GB2312" w:hAnsi="仿宋_GB2312" w:eastAsia="仿宋_GB2312" w:cs="仿宋_GB2312"/>
              </w:rP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restart"/>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产出指标</w:t>
            </w: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心脑血管事件报告</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≥1380人</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至少新创建三个健康支持环境建设</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3个</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开展多种多样的慢性病防治知识宣传活动</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≥5次</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开展“三减三健”专题活动</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1次</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开展健康生活方式指导员队伍培训</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50人</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开展心脑血管事件报告技术培训</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1次</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开展心脑血管督导工作</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≥1次</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开展高血压、2型糖尿病基层督导检查工作</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4次</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数量指标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开展高血压、2型糖尿病基层培训工作</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1次</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质量指标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开展高血压、2型糖尿病基层督导检查工作</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80%</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质量指标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开展心脑血管事件报告技术培训</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80%</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质量指标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开展高血压、2型糖尿病基层督导检查工作</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15家</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质量指标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创建三个健康支持环境建设合格率</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全民健康生活方式行动健康支持性环境建设指导方案（2019年修订版）</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100%</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全民健康生活方式行动健康支持性环境建设指导方案（2019年修订版）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时效指标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慢性非传染性疾病防治及时完成</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2022年12月31日前</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根据《廊坊市县级疾病预防控制机构二O二一年综合考评指标》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Merge w:val="continue"/>
            <w:vAlign w:val="center"/>
          </w:tcPr>
          <w:p>
            <w:pPr>
              <w:rPr>
                <w:rFonts w:hint="eastAsia" w:ascii="仿宋_GB2312" w:hAnsi="仿宋_GB2312" w:eastAsia="仿宋_GB2312" w:cs="仿宋_GB2312"/>
              </w:rPr>
            </w:pP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成本指标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不超过预算申请资金数额</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≤6.2万元</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效益指标</w:t>
            </w: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社会效益指标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通过开展慢性病宣传，使广大居民进一步了解慢性病知识</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完成</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327" w:type="dxa"/>
            <w:vAlign w:val="center"/>
          </w:tcPr>
          <w:p>
            <w:pPr>
              <w:pStyle w:val="15"/>
              <w:rPr>
                <w:rFonts w:hint="eastAsia" w:ascii="仿宋_GB2312" w:hAnsi="仿宋_GB2312" w:eastAsia="仿宋_GB2312" w:cs="仿宋_GB2312"/>
              </w:rPr>
            </w:pPr>
            <w:r>
              <w:rPr>
                <w:rFonts w:hint="eastAsia" w:ascii="仿宋_GB2312" w:hAnsi="仿宋_GB2312" w:eastAsia="仿宋_GB2312" w:cs="仿宋_GB2312"/>
              </w:rPr>
              <w:t>满意度指标</w:t>
            </w:r>
          </w:p>
        </w:tc>
        <w:tc>
          <w:tcPr>
            <w:tcW w:w="1149"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服务对象满意度指标</w:t>
            </w:r>
          </w:p>
        </w:tc>
        <w:tc>
          <w:tcPr>
            <w:tcW w:w="150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参加训人员满意度</w:t>
            </w:r>
          </w:p>
        </w:tc>
        <w:tc>
          <w:tcPr>
            <w:tcW w:w="337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问卷调查</w:t>
            </w:r>
          </w:p>
        </w:tc>
        <w:tc>
          <w:tcPr>
            <w:tcW w:w="1301"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≥85%</w:t>
            </w:r>
          </w:p>
        </w:tc>
        <w:tc>
          <w:tcPr>
            <w:tcW w:w="3235" w:type="dxa"/>
            <w:vAlign w:val="center"/>
          </w:tcPr>
          <w:p>
            <w:pPr>
              <w:pStyle w:val="14"/>
              <w:rPr>
                <w:rFonts w:hint="eastAsia" w:ascii="仿宋_GB2312" w:hAnsi="仿宋_GB2312" w:eastAsia="仿宋_GB2312" w:cs="仿宋_GB2312"/>
              </w:rPr>
            </w:pPr>
            <w:r>
              <w:rPr>
                <w:rFonts w:hint="eastAsia" w:ascii="仿宋_GB2312" w:hAnsi="仿宋_GB2312" w:eastAsia="仿宋_GB2312" w:cs="仿宋_GB2312"/>
              </w:rPr>
              <w:t>问卷调查</w:t>
            </w:r>
          </w:p>
        </w:tc>
      </w:tr>
    </w:tbl>
    <w:p>
      <w:pPr>
        <w:sectPr>
          <w:pgSz w:w="16840" w:h="11900" w:orient="landscape"/>
          <w:pgMar w:top="1304" w:right="1984" w:bottom="1304" w:left="1134" w:header="720" w:footer="720" w:gutter="0"/>
          <w:cols w:space="720" w:num="1"/>
        </w:sect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sz w:val="32"/>
          <w:szCs w:val="24"/>
        </w:rPr>
      </w:pPr>
      <w:bookmarkStart w:id="3" w:name="_Toc471398468"/>
      <w:r>
        <w:rPr>
          <w:rFonts w:ascii="Times New Roman" w:hAnsi="Times New Roman" w:eastAsia="仿宋_GB2312" w:cs="Times New Roman"/>
          <w:sz w:val="32"/>
          <w:szCs w:val="24"/>
        </w:rPr>
        <w:t>20</w:t>
      </w:r>
      <w:r>
        <w:rPr>
          <w:rFonts w:hint="eastAsia" w:ascii="Times New Roman" w:hAnsi="Times New Roman" w:eastAsia="仿宋_GB2312" w:cs="Times New Roman"/>
          <w:sz w:val="32"/>
          <w:szCs w:val="24"/>
        </w:rPr>
        <w:t>2</w:t>
      </w:r>
      <w:r>
        <w:rPr>
          <w:rFonts w:ascii="Times New Roman" w:hAnsi="Times New Roman" w:eastAsia="仿宋_GB2312" w:cs="Times New Roman"/>
          <w:sz w:val="32"/>
          <w:szCs w:val="24"/>
        </w:rPr>
        <w:t>2年，我</w:t>
      </w:r>
      <w:r>
        <w:rPr>
          <w:rFonts w:hint="eastAsia" w:ascii="Times New Roman" w:hAnsi="Times New Roman" w:eastAsia="仿宋_GB2312" w:cs="Times New Roman"/>
          <w:sz w:val="32"/>
          <w:szCs w:val="24"/>
          <w:lang w:eastAsia="zh-CN"/>
        </w:rPr>
        <w:t>单位</w:t>
      </w:r>
      <w:r>
        <w:rPr>
          <w:rFonts w:ascii="Times New Roman" w:hAnsi="Times New Roman" w:eastAsia="仿宋_GB2312" w:cs="Times New Roman"/>
          <w:sz w:val="32"/>
          <w:szCs w:val="24"/>
        </w:rPr>
        <w:t>安排政府采购预算</w:t>
      </w:r>
      <w:r>
        <w:rPr>
          <w:rFonts w:hint="eastAsia" w:ascii="Times New Roman" w:hAnsi="Times New Roman" w:eastAsia="仿宋_GB2312" w:cs="Times New Roman"/>
          <w:sz w:val="32"/>
          <w:szCs w:val="24"/>
          <w:lang w:val="en-US" w:eastAsia="zh-CN"/>
        </w:rPr>
        <w:t>0</w:t>
      </w:r>
      <w:r>
        <w:rPr>
          <w:rFonts w:ascii="Times New Roman" w:hAnsi="Times New Roman" w:eastAsia="仿宋_GB2312" w:cs="Times New Roman"/>
          <w:sz w:val="32"/>
          <w:szCs w:val="24"/>
        </w:rPr>
        <w:t>万元。具体内容见下表。</w:t>
      </w:r>
    </w:p>
    <w:bookmarkEnd w:id="3"/>
    <w:p>
      <w:pPr>
        <w:spacing w:line="240" w:lineRule="auto"/>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七、国有资产信息</w:t>
      </w:r>
    </w:p>
    <w:p>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廊坊市</w:t>
      </w:r>
      <w:r>
        <w:rPr>
          <w:rFonts w:hint="eastAsia" w:ascii="Times New Roman" w:hAnsi="Times New Roman" w:eastAsia="仿宋_GB2312" w:cs="Times New Roman"/>
          <w:sz w:val="32"/>
          <w:szCs w:val="32"/>
          <w:lang w:eastAsia="zh-CN"/>
        </w:rPr>
        <w:t>广阳区</w:t>
      </w:r>
      <w:r>
        <w:rPr>
          <w:rFonts w:hint="eastAsia" w:ascii="Times New Roman" w:hAnsi="Times New Roman" w:eastAsia="仿宋_GB2312" w:cs="Times New Roman"/>
          <w:sz w:val="32"/>
          <w:szCs w:val="32"/>
          <w:lang w:val="en-US" w:eastAsia="zh-CN"/>
        </w:rPr>
        <w:t>疾病预防控制中心</w:t>
      </w:r>
      <w:r>
        <w:rPr>
          <w:rFonts w:ascii="Times New Roman" w:hAnsi="Times New Roman" w:eastAsia="仿宋_GB2312" w:cs="Times New Roman"/>
          <w:sz w:val="32"/>
          <w:szCs w:val="32"/>
        </w:rPr>
        <w:t>上年末固定资产金额为</w:t>
      </w:r>
      <w:r>
        <w:rPr>
          <w:rFonts w:hint="eastAsia" w:ascii="Times New Roman" w:hAnsi="Times New Roman" w:eastAsia="仿宋_GB2312" w:cs="Times New Roman"/>
          <w:sz w:val="32"/>
          <w:szCs w:val="32"/>
          <w:lang w:val="en-US" w:eastAsia="zh-CN"/>
        </w:rPr>
        <w:t>689.96</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（详见下表）</w:t>
      </w:r>
      <w:r>
        <w:rPr>
          <w:rFonts w:ascii="Times New Roman" w:hAnsi="Times New Roman" w:eastAsia="仿宋_GB2312" w:cs="Times New Roman"/>
          <w:sz w:val="32"/>
          <w:szCs w:val="32"/>
        </w:rPr>
        <w:t>，本年度我</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拟购置固定资产</w:t>
      </w:r>
      <w:r>
        <w:rPr>
          <w:rFonts w:hint="eastAsia" w:ascii="Times New Roman" w:hAnsi="Times New Roman" w:eastAsia="仿宋_GB2312" w:cs="Times New Roman"/>
          <w:sz w:val="32"/>
          <w:szCs w:val="32"/>
        </w:rPr>
        <w:t>总额为</w:t>
      </w:r>
      <w:r>
        <w:rPr>
          <w:rFonts w:hint="eastAsia" w:ascii="Times New Roman" w:hAnsi="Times New Roman" w:eastAsia="仿宋_GB2312" w:cs="Times New Roman"/>
          <w:sz w:val="32"/>
          <w:szCs w:val="32"/>
          <w:lang w:val="en-US" w:eastAsia="zh-CN"/>
        </w:rPr>
        <w:t>0</w:t>
      </w:r>
      <w:r>
        <w:rPr>
          <w:rFonts w:hint="eastAsia" w:ascii="Times New Roman" w:hAnsi="Times New Roman" w:eastAsia="仿宋_GB2312" w:cs="Times New Roman"/>
          <w:sz w:val="32"/>
          <w:szCs w:val="32"/>
        </w:rPr>
        <w:t>万元</w:t>
      </w:r>
      <w:r>
        <w:rPr>
          <w:rFonts w:ascii="Times New Roman" w:hAnsi="Times New Roman" w:eastAsia="仿宋_GB2312" w:cs="Times New Roman"/>
          <w:sz w:val="32"/>
          <w:szCs w:val="32"/>
        </w:rPr>
        <w:t>。</w:t>
      </w:r>
    </w:p>
    <w:tbl>
      <w:tblPr>
        <w:tblStyle w:val="8"/>
        <w:tblW w:w="13325" w:type="dxa"/>
        <w:tblInd w:w="93" w:type="dxa"/>
        <w:tblLayout w:type="autofit"/>
        <w:tblCellMar>
          <w:top w:w="0" w:type="dxa"/>
          <w:left w:w="108" w:type="dxa"/>
          <w:bottom w:w="0" w:type="dxa"/>
          <w:right w:w="108" w:type="dxa"/>
        </w:tblCellMar>
      </w:tblPr>
      <w:tblGrid>
        <w:gridCol w:w="5224"/>
        <w:gridCol w:w="3155"/>
        <w:gridCol w:w="5103"/>
      </w:tblGrid>
      <w:tr>
        <w:trPr>
          <w:trHeight w:val="705" w:hRule="atLeast"/>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廊坊市</w:t>
            </w:r>
            <w:r>
              <w:rPr>
                <w:rFonts w:hint="eastAsia" w:ascii="Times New Roman" w:hAnsi="Times New Roman" w:eastAsia="仿宋_GB2312" w:cs="Times New Roman"/>
                <w:b/>
                <w:bCs/>
                <w:kern w:val="0"/>
                <w:sz w:val="32"/>
                <w:szCs w:val="32"/>
                <w:lang w:eastAsia="zh-CN"/>
              </w:rPr>
              <w:t>广阳区区</w:t>
            </w:r>
            <w:r>
              <w:rPr>
                <w:rFonts w:ascii="Times New Roman" w:hAnsi="Times New Roman" w:eastAsia="仿宋_GB2312" w:cs="Times New Roman"/>
                <w:b/>
                <w:bCs/>
                <w:kern w:val="0"/>
                <w:sz w:val="32"/>
                <w:szCs w:val="32"/>
              </w:rPr>
              <w:t>直</w:t>
            </w:r>
            <w:r>
              <w:rPr>
                <w:rFonts w:hint="eastAsia" w:ascii="Times New Roman" w:hAnsi="Times New Roman" w:eastAsia="仿宋_GB2312" w:cs="Times New Roman"/>
                <w:b/>
                <w:bCs/>
                <w:kern w:val="0"/>
                <w:sz w:val="32"/>
                <w:szCs w:val="32"/>
                <w:lang w:eastAsia="zh-CN"/>
              </w:rPr>
              <w:t>单位</w:t>
            </w:r>
            <w:r>
              <w:rPr>
                <w:rFonts w:ascii="Times New Roman" w:hAnsi="Times New Roman" w:eastAsia="仿宋_GB2312" w:cs="Times New Roman"/>
                <w:b/>
                <w:bCs/>
                <w:kern w:val="0"/>
                <w:sz w:val="32"/>
                <w:szCs w:val="32"/>
              </w:rPr>
              <w:t>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hint="default" w:ascii="Times New Roman" w:hAnsi="Times New Roman" w:eastAsia="仿宋_GB2312" w:cs="Times New Roman"/>
                <w:kern w:val="0"/>
                <w:sz w:val="22"/>
                <w:lang w:val="en-US" w:eastAsia="zh-CN"/>
              </w:rPr>
            </w:pPr>
            <w:r>
              <w:rPr>
                <w:rFonts w:ascii="Times New Roman" w:hAnsi="Times New Roman" w:eastAsia="仿宋_GB2312" w:cs="Times New Roman"/>
                <w:kern w:val="0"/>
                <w:sz w:val="22"/>
              </w:rPr>
              <w:t>编制</w:t>
            </w:r>
            <w:r>
              <w:rPr>
                <w:rFonts w:hint="eastAsia" w:ascii="Times New Roman" w:hAnsi="Times New Roman" w:eastAsia="仿宋_GB2312" w:cs="Times New Roman"/>
                <w:kern w:val="0"/>
                <w:sz w:val="22"/>
                <w:lang w:eastAsia="zh-CN"/>
              </w:rPr>
              <w:t>单位</w:t>
            </w:r>
            <w:r>
              <w:rPr>
                <w:rFonts w:ascii="Times New Roman" w:hAnsi="Times New Roman" w:eastAsia="仿宋_GB2312" w:cs="Times New Roman"/>
                <w:kern w:val="0"/>
                <w:sz w:val="22"/>
              </w:rPr>
              <w:t>：廊坊市</w:t>
            </w:r>
            <w:r>
              <w:rPr>
                <w:rFonts w:hint="eastAsia" w:ascii="Times New Roman" w:hAnsi="Times New Roman" w:eastAsia="仿宋_GB2312" w:cs="Times New Roman"/>
                <w:kern w:val="0"/>
                <w:sz w:val="22"/>
                <w:lang w:eastAsia="zh-CN"/>
              </w:rPr>
              <w:t>广阳区</w:t>
            </w:r>
            <w:r>
              <w:rPr>
                <w:rFonts w:hint="eastAsia" w:ascii="Times New Roman" w:hAnsi="Times New Roman" w:eastAsia="仿宋_GB2312" w:cs="Times New Roman"/>
                <w:kern w:val="0"/>
                <w:sz w:val="22"/>
                <w:lang w:val="en-US" w:eastAsia="zh-CN"/>
              </w:rPr>
              <w:t>疾病预防控制中心</w:t>
            </w:r>
          </w:p>
        </w:tc>
        <w:tc>
          <w:tcPr>
            <w:tcW w:w="5103" w:type="dxa"/>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w:t>
            </w:r>
            <w:r>
              <w:rPr>
                <w:rFonts w:ascii="Times New Roman" w:hAnsi="Times New Roman" w:eastAsia="仿宋_GB2312" w:cs="Times New Roman"/>
                <w:kern w:val="0"/>
                <w:sz w:val="22"/>
              </w:rPr>
              <w:t xml:space="preserve">1年12月31日  </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   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689.96</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1035</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36.94</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0</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0</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6</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107.39</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eastAsia"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0</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545.63</w:t>
            </w:r>
          </w:p>
        </w:tc>
      </w:tr>
    </w:tbl>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八、名词解释</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w:t>
      </w:r>
      <w:r>
        <w:rPr>
          <w:rFonts w:hint="eastAsia" w:ascii="Times New Roman" w:hAnsi="Times New Roman" w:eastAsia="仿宋_GB2312" w:cs="Times New Roman"/>
          <w:sz w:val="32"/>
          <w:szCs w:val="32"/>
          <w:lang w:eastAsia="zh-CN"/>
        </w:rPr>
        <w:t>区</w:t>
      </w:r>
      <w:r>
        <w:rPr>
          <w:rFonts w:ascii="Times New Roman" w:hAnsi="Times New Roman" w:eastAsia="仿宋_GB2312" w:cs="Times New Roman"/>
          <w:sz w:val="32"/>
          <w:szCs w:val="32"/>
        </w:rPr>
        <w:t>级财政当年拨付的资金。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w:t>
      </w:r>
      <w:r>
        <w:rPr>
          <w:rFonts w:hint="eastAsia" w:ascii="Times New Roman" w:hAnsi="Times New Roman" w:eastAsia="仿宋_GB2312" w:cs="Times New Roman"/>
          <w:sz w:val="32"/>
          <w:szCs w:val="32"/>
          <w:lang w:eastAsia="zh-CN"/>
        </w:rPr>
        <w:t>区</w:t>
      </w:r>
      <w:r>
        <w:rPr>
          <w:rFonts w:ascii="Times New Roman" w:hAnsi="Times New Roman" w:eastAsia="仿宋_GB2312" w:cs="Times New Roman"/>
          <w:sz w:val="32"/>
          <w:szCs w:val="32"/>
        </w:rPr>
        <w:t>级财政预算管理的“三公”经费，是指</w:t>
      </w:r>
      <w:r>
        <w:rPr>
          <w:rFonts w:hint="eastAsia" w:ascii="Times New Roman" w:hAnsi="Times New Roman" w:eastAsia="仿宋_GB2312" w:cs="Times New Roman"/>
          <w:sz w:val="32"/>
          <w:szCs w:val="32"/>
          <w:lang w:eastAsia="zh-CN"/>
        </w:rPr>
        <w:t>区</w:t>
      </w:r>
      <w:r>
        <w:rPr>
          <w:rFonts w:ascii="Times New Roman" w:hAnsi="Times New Roman" w:eastAsia="仿宋_GB2312" w:cs="Times New Roman"/>
          <w:sz w:val="32"/>
          <w:szCs w:val="32"/>
        </w:rPr>
        <w:t>级</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Times New Roman" w:eastAsia="黑体" w:cs="Times New Roman"/>
          <w:sz w:val="32"/>
          <w:szCs w:val="32"/>
        </w:rPr>
        <w:t>九、其他需要说明的事项</w:t>
      </w:r>
      <w:bookmarkStart w:id="4" w:name="_GoBack"/>
      <w:bookmarkEnd w:id="4"/>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w:t>
      </w:r>
      <w:r>
        <w:rPr>
          <w:rFonts w:hint="eastAsia" w:ascii="Times New Roman" w:hAnsi="Times New Roman" w:eastAsia="仿宋_GB2312" w:cs="Times New Roman"/>
          <w:sz w:val="32"/>
          <w:szCs w:val="32"/>
          <w:lang w:eastAsia="zh-CN"/>
        </w:rPr>
        <w:t>单位</w:t>
      </w:r>
      <w:r>
        <w:rPr>
          <w:rFonts w:ascii="Times New Roman" w:hAnsi="Times New Roman" w:eastAsia="仿宋_GB2312" w:cs="Times New Roman"/>
          <w:sz w:val="32"/>
          <w:szCs w:val="32"/>
        </w:rPr>
        <w:t>无其他需要说明的事项。</w:t>
      </w:r>
    </w:p>
    <w:sectPr>
      <w:footerReference r:id="rId3" w:type="default"/>
      <w:pgSz w:w="16838" w:h="11906" w:orient="landscape"/>
      <w:pgMar w:top="1800" w:right="1440" w:bottom="1800" w:left="144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_GBK">
    <w:altName w:val="微软雅黑"/>
    <w:panose1 w:val="00000000000000000000"/>
    <w:charset w:val="86"/>
    <w:family w:val="roman"/>
    <w:pitch w:val="default"/>
    <w:sig w:usb0="00000000" w:usb1="00000000" w:usb2="00000000" w:usb3="00000000" w:csb0="00000000" w:csb1="00000000"/>
  </w:font>
  <w:font w:name="方正仿宋_GBK">
    <w:panose1 w:val="02000000000000000000"/>
    <w:charset w:val="86"/>
    <w:family w:val="script"/>
    <w:pitch w:val="default"/>
    <w:sig w:usb0="A00002BF" w:usb1="38CF7CFA" w:usb2="00082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rFonts w:hint="eastAsia"/>
      </w:rPr>
      <w:t>-</w:t>
    </w:r>
    <w:r>
      <w:fldChar w:fldCharType="begin"/>
    </w:r>
    <w:r>
      <w:instrText xml:space="preserve">PAGE   \* MERGEFORMAT</w:instrText>
    </w:r>
    <w:r>
      <w:fldChar w:fldCharType="separate"/>
    </w:r>
    <w:r>
      <w:rPr>
        <w:lang w:val="zh-CN"/>
      </w:rPr>
      <w:t>11</w:t>
    </w:r>
    <w:r>
      <w:rPr>
        <w:lang w:val="zh-CN"/>
      </w:rPr>
      <w:fldChar w:fldCharType="end"/>
    </w:r>
    <w:r>
      <w:rPr>
        <w:rFonts w:hint="eastAsia"/>
      </w:rPr>
      <w:t>-</w:t>
    </w:r>
  </w:p>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1MzJjNTBhNGFmZWFjOWNkNzBiMDRhNDMxMDgwZTEifQ=="/>
  </w:docVars>
  <w:rsids>
    <w:rsidRoot w:val="00D347CC"/>
    <w:rsid w:val="000230E6"/>
    <w:rsid w:val="000F6018"/>
    <w:rsid w:val="0025632D"/>
    <w:rsid w:val="003059E0"/>
    <w:rsid w:val="004A54AA"/>
    <w:rsid w:val="00944233"/>
    <w:rsid w:val="00B40732"/>
    <w:rsid w:val="00B80935"/>
    <w:rsid w:val="00D347CC"/>
    <w:rsid w:val="00DC72B4"/>
    <w:rsid w:val="00DF14BB"/>
    <w:rsid w:val="07817496"/>
    <w:rsid w:val="0B853E42"/>
    <w:rsid w:val="0CEC1180"/>
    <w:rsid w:val="1BC847FE"/>
    <w:rsid w:val="23063599"/>
    <w:rsid w:val="28B43AA2"/>
    <w:rsid w:val="388D0231"/>
    <w:rsid w:val="39467F2D"/>
    <w:rsid w:val="474D245E"/>
    <w:rsid w:val="53C63FDA"/>
    <w:rsid w:val="5825327C"/>
    <w:rsid w:val="5FAD60A7"/>
    <w:rsid w:val="6B6B37F1"/>
    <w:rsid w:val="6D062E8A"/>
    <w:rsid w:val="73693C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qFormat/>
    <w:uiPriority w:val="0"/>
    <w:rPr>
      <w:sz w:val="18"/>
      <w:szCs w:val="18"/>
    </w:rPr>
  </w:style>
  <w:style w:type="paragraph" w:styleId="3">
    <w:name w:val="footer"/>
    <w:basedOn w:val="1"/>
    <w:qFormat/>
    <w:uiPriority w:val="0"/>
    <w:pPr>
      <w:tabs>
        <w:tab w:val="center" w:pos="4153"/>
        <w:tab w:val="right" w:pos="8306"/>
      </w:tabs>
      <w:snapToGrid w:val="0"/>
      <w:jc w:val="left"/>
    </w:pPr>
    <w:rPr>
      <w:rFonts w:ascii="Times New Roman" w:hAnsi="Times New Roman" w:cs="Times New Roman"/>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5">
    <w:name w:val="toc 1"/>
    <w:basedOn w:val="1"/>
    <w:next w:val="1"/>
    <w:qFormat/>
    <w:uiPriority w:val="0"/>
    <w:rPr>
      <w:rFonts w:ascii="Times New Roman" w:hAnsi="Times New Roman" w:cs="Times New Roman"/>
      <w:szCs w:val="24"/>
    </w:rPr>
  </w:style>
  <w:style w:type="paragraph" w:styleId="6">
    <w:name w:val="footnote text"/>
    <w:basedOn w:val="1"/>
    <w:qFormat/>
    <w:uiPriority w:val="0"/>
    <w:pPr>
      <w:snapToGrid w:val="0"/>
      <w:jc w:val="left"/>
    </w:pPr>
    <w:rPr>
      <w:rFonts w:cs="Times New Roman"/>
      <w:sz w:val="18"/>
      <w:szCs w:val="18"/>
    </w:rPr>
  </w:style>
  <w:style w:type="paragraph" w:styleId="7">
    <w:name w:val="toc 2"/>
    <w:basedOn w:val="1"/>
    <w:next w:val="1"/>
    <w:qFormat/>
    <w:uiPriority w:val="0"/>
    <w:pPr>
      <w:ind w:left="200" w:leftChars="200"/>
    </w:pPr>
    <w:rPr>
      <w:rFonts w:ascii="Times New Roman" w:hAnsi="Times New Roman" w:cs="Times New Roman"/>
      <w:szCs w:val="24"/>
    </w:rPr>
  </w:style>
  <w:style w:type="character" w:styleId="10">
    <w:name w:val="footnote reference"/>
    <w:qFormat/>
    <w:uiPriority w:val="0"/>
    <w:rPr>
      <w:vertAlign w:val="superscript"/>
    </w:rPr>
  </w:style>
  <w:style w:type="paragraph" w:customStyle="1" w:styleId="11">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2">
    <w:name w:val="单元格样式1"/>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13">
    <w:name w:val="单元格样式4"/>
    <w:basedOn w:val="1"/>
    <w:qFormat/>
    <w:uiPriority w:val="0"/>
    <w:pPr>
      <w:widowControl/>
      <w:jc w:val="right"/>
    </w:pPr>
    <w:rPr>
      <w:rFonts w:ascii="方正书宋_GBK" w:hAnsi="方正书宋_GBK" w:eastAsia="方正书宋_GBK" w:cs="方正书宋_GBK"/>
      <w:kern w:val="0"/>
      <w:szCs w:val="24"/>
      <w:lang w:eastAsia="uk-UA"/>
    </w:rPr>
  </w:style>
  <w:style w:type="paragraph" w:customStyle="1" w:styleId="14">
    <w:name w:val="单元格样式2"/>
    <w:basedOn w:val="1"/>
    <w:qFormat/>
    <w:uiPriority w:val="0"/>
    <w:pPr>
      <w:widowControl/>
      <w:jc w:val="left"/>
    </w:pPr>
    <w:rPr>
      <w:rFonts w:ascii="方正书宋_GBK" w:hAnsi="方正书宋_GBK" w:eastAsia="方正书宋_GBK" w:cs="方正书宋_GBK"/>
      <w:kern w:val="0"/>
      <w:szCs w:val="24"/>
      <w:lang w:eastAsia="uk-UA"/>
    </w:rPr>
  </w:style>
  <w:style w:type="paragraph" w:customStyle="1" w:styleId="15">
    <w:name w:val="单元格样式3"/>
    <w:basedOn w:val="1"/>
    <w:qFormat/>
    <w:uiPriority w:val="0"/>
    <w:pPr>
      <w:widowControl/>
      <w:jc w:val="center"/>
    </w:pPr>
    <w:rPr>
      <w:rFonts w:ascii="方正书宋_GBK" w:hAnsi="方正书宋_GBK" w:eastAsia="方正书宋_GBK" w:cs="方正书宋_GBK"/>
      <w:kern w:val="0"/>
      <w:szCs w:val="24"/>
      <w:lang w:eastAsia="uk-UA"/>
    </w:rPr>
  </w:style>
  <w:style w:type="paragraph" w:customStyle="1" w:styleId="16">
    <w:name w:val="单元格样式6"/>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17">
    <w:name w:val="单元格样式7"/>
    <w:basedOn w:val="1"/>
    <w:qFormat/>
    <w:uiPriority w:val="0"/>
    <w:pPr>
      <w:widowControl/>
      <w:jc w:val="right"/>
    </w:pPr>
    <w:rPr>
      <w:rFonts w:ascii="方正书宋_GBK" w:hAnsi="方正书宋_GBK" w:eastAsia="方正书宋_GBK" w:cs="方正书宋_GBK"/>
      <w:b/>
      <w:kern w:val="0"/>
      <w:szCs w:val="24"/>
      <w:lang w:eastAsia="uk-UA"/>
    </w:rPr>
  </w:style>
  <w:style w:type="paragraph" w:customStyle="1" w:styleId="18">
    <w:name w:val="单元格样式5"/>
    <w:basedOn w:val="1"/>
    <w:qFormat/>
    <w:uiPriority w:val="0"/>
    <w:pPr>
      <w:widowControl/>
      <w:jc w:val="left"/>
    </w:pPr>
    <w:rPr>
      <w:rFonts w:ascii="方正书宋_GBK" w:hAnsi="方正书宋_GBK" w:eastAsia="方正书宋_GBK" w:cs="方正书宋_GBK"/>
      <w:b/>
      <w:kern w:val="0"/>
      <w:szCs w:val="24"/>
      <w:lang w:eastAsia="uk-UA"/>
    </w:rPr>
  </w:style>
  <w:style w:type="paragraph" w:customStyle="1" w:styleId="19">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character" w:customStyle="1" w:styleId="21">
    <w:name w:val="font31"/>
    <w:basedOn w:val="9"/>
    <w:qFormat/>
    <w:uiPriority w:val="0"/>
    <w:rPr>
      <w:rFonts w:hint="eastAsia" w:ascii="宋体" w:hAnsi="宋体" w:eastAsia="宋体" w:cs="宋体"/>
      <w:color w:val="000000"/>
      <w:sz w:val="18"/>
      <w:szCs w:val="18"/>
      <w:u w:val="none"/>
    </w:rPr>
  </w:style>
  <w:style w:type="character" w:customStyle="1" w:styleId="22">
    <w:name w:val="font11"/>
    <w:basedOn w:val="9"/>
    <w:qFormat/>
    <w:uiPriority w:val="0"/>
    <w:rPr>
      <w:rFonts w:hint="default" w:ascii="Times New Roman" w:hAnsi="Times New Roman" w:cs="Times New Roman"/>
      <w:color w:val="000000"/>
      <w:sz w:val="18"/>
      <w:szCs w:val="1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11</Pages>
  <Words>504</Words>
  <Characters>2877</Characters>
  <Lines>23</Lines>
  <Paragraphs>6</Paragraphs>
  <TotalTime>9</TotalTime>
  <ScaleCrop>false</ScaleCrop>
  <LinksUpToDate>false</LinksUpToDate>
  <CharactersWithSpaces>3375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2020-01-13T03:27:00Z</dcterms:created>
  <dc:creator>guest</dc:creator>
  <cp:lastModifiedBy>CXL</cp:lastModifiedBy>
  <cp:lastPrinted>2018-01-30T06:12:00Z</cp:lastPrinted>
  <dcterms:modified xsi:type="dcterms:W3CDTF">2023-08-14T09:25:44Z</dcterms:modified>
  <cp:revision>85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0BF516AE385646398DC6405056BD0C8D</vt:lpwstr>
  </property>
</Properties>
</file>