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1100" w:firstLineChars="250"/>
        <w:rPr>
          <w:rFonts w:ascii="Times New Roman" w:hAnsi="Times New Roman" w:eastAsia="方正小标宋简体" w:cs="Times New Roman"/>
          <w:sz w:val="44"/>
          <w:szCs w:val="44"/>
        </w:rPr>
      </w:pPr>
      <w:bookmarkStart w:id="4" w:name="_GoBack"/>
      <w:bookmarkEnd w:id="4"/>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广阳区人民医院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广阳区人民医院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（一）承担居民的医疗服务、疾病预防、康复及保健任务。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（二）对传染病、职业病和非传染慢性病的防控。</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（三）指导居民的健康教育工作。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（四）定期对卫计人员进行培训。</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（五）强化区域内医疗救治体系，应对各种突发性公共卫生事件。</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阳区人民医院始建于1952年，经过了几代人的发奋努力，现有门诊住院综合楼一所，建筑面积6600平方米，床位100张，设有中医科、内科、外科、妇产科、麻醉手术科、泌尿科、皮肤科、口腔科、眼科、检验科、放射科、彩超、心电图等13个临床、医技科室。</w:t>
      </w:r>
    </w:p>
    <w:tbl>
      <w:tblPr>
        <w:tblStyle w:val="8"/>
        <w:tblW w:w="83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6"/>
        <w:gridCol w:w="2229"/>
        <w:gridCol w:w="1097"/>
        <w:gridCol w:w="2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2566" w:type="dxa"/>
            <w:vMerge w:val="restart"/>
            <w:vAlign w:val="center"/>
          </w:tcPr>
          <w:p>
            <w:pPr>
              <w:spacing w:line="584"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单位名称</w:t>
            </w:r>
          </w:p>
        </w:tc>
        <w:tc>
          <w:tcPr>
            <w:tcW w:w="2229" w:type="dxa"/>
            <w:vMerge w:val="restart"/>
            <w:vAlign w:val="center"/>
          </w:tcPr>
          <w:p>
            <w:pPr>
              <w:spacing w:line="584"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单位性质</w:t>
            </w:r>
          </w:p>
        </w:tc>
        <w:tc>
          <w:tcPr>
            <w:tcW w:w="1097" w:type="dxa"/>
            <w:vMerge w:val="restart"/>
            <w:vAlign w:val="center"/>
          </w:tcPr>
          <w:p>
            <w:pPr>
              <w:spacing w:line="584"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单位规格</w:t>
            </w:r>
          </w:p>
        </w:tc>
        <w:tc>
          <w:tcPr>
            <w:tcW w:w="2495" w:type="dxa"/>
            <w:vMerge w:val="restart"/>
            <w:vAlign w:val="center"/>
          </w:tcPr>
          <w:p>
            <w:pPr>
              <w:spacing w:line="584"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66" w:type="dxa"/>
            <w:vMerge w:val="continue"/>
            <w:vAlign w:val="center"/>
          </w:tcPr>
          <w:p>
            <w:pPr>
              <w:rPr>
                <w:sz w:val="32"/>
                <w:szCs w:val="32"/>
              </w:rPr>
            </w:pPr>
          </w:p>
        </w:tc>
        <w:tc>
          <w:tcPr>
            <w:tcW w:w="2229" w:type="dxa"/>
            <w:vMerge w:val="continue"/>
            <w:vAlign w:val="center"/>
          </w:tcPr>
          <w:p>
            <w:pPr>
              <w:rPr>
                <w:sz w:val="32"/>
                <w:szCs w:val="32"/>
              </w:rPr>
            </w:pPr>
          </w:p>
        </w:tc>
        <w:tc>
          <w:tcPr>
            <w:tcW w:w="1097" w:type="dxa"/>
            <w:vMerge w:val="continue"/>
            <w:vAlign w:val="center"/>
          </w:tcPr>
          <w:p>
            <w:pPr>
              <w:rPr>
                <w:sz w:val="32"/>
                <w:szCs w:val="32"/>
              </w:rPr>
            </w:pPr>
          </w:p>
        </w:tc>
        <w:tc>
          <w:tcPr>
            <w:tcW w:w="2495" w:type="dxa"/>
            <w:vMerge w:val="continue"/>
            <w:vAlign w:val="center"/>
          </w:tcPr>
          <w:p>
            <w:pPr>
              <w:rPr>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6" w:hRule="atLeast"/>
          <w:jc w:val="center"/>
        </w:trPr>
        <w:tc>
          <w:tcPr>
            <w:tcW w:w="2566" w:type="dxa"/>
            <w:vAlign w:val="center"/>
          </w:tcPr>
          <w:p>
            <w:pPr>
              <w:spacing w:line="584"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廊坊市广阳区人民医院</w:t>
            </w:r>
          </w:p>
        </w:tc>
        <w:tc>
          <w:tcPr>
            <w:tcW w:w="2229" w:type="dxa"/>
            <w:vAlign w:val="center"/>
          </w:tcPr>
          <w:p>
            <w:pPr>
              <w:spacing w:line="584" w:lineRule="exact"/>
              <w:jc w:val="center"/>
              <w:rPr>
                <w:rFonts w:ascii="Times New Roman" w:hAnsi="Times New Roman" w:eastAsia="仿宋_GB2312" w:cs="Times New Roman"/>
              </w:rPr>
            </w:pPr>
            <w:r>
              <w:rPr>
                <w:rFonts w:hint="eastAsia" w:ascii="仿宋_GB2312" w:hAnsi="仿宋_GB2312" w:eastAsia="仿宋_GB2312" w:cs="仿宋_GB2312"/>
                <w:bCs/>
                <w:color w:val="000000" w:themeColor="text1"/>
                <w:sz w:val="32"/>
                <w:szCs w:val="32"/>
                <w14:textFill>
                  <w14:solidFill>
                    <w14:schemeClr w14:val="tx1"/>
                  </w14:solidFill>
                </w14:textFill>
              </w:rPr>
              <w:t>事业</w:t>
            </w:r>
          </w:p>
        </w:tc>
        <w:tc>
          <w:tcPr>
            <w:tcW w:w="1097" w:type="dxa"/>
            <w:vAlign w:val="center"/>
          </w:tcPr>
          <w:p>
            <w:pPr>
              <w:spacing w:line="584" w:lineRule="exact"/>
              <w:jc w:val="center"/>
              <w:rPr>
                <w:rFonts w:ascii="Times New Roman" w:hAnsi="Times New Roman" w:eastAsia="仿宋_GB2312" w:cs="Times New Roman"/>
              </w:rPr>
            </w:pPr>
            <w:r>
              <w:rPr>
                <w:rFonts w:hint="eastAsia" w:ascii="仿宋_GB2312" w:hAnsi="仿宋_GB2312" w:eastAsia="仿宋_GB2312" w:cs="仿宋_GB2312"/>
                <w:bCs/>
                <w:color w:val="000000" w:themeColor="text1"/>
                <w:sz w:val="32"/>
                <w:szCs w:val="32"/>
                <w14:textFill>
                  <w14:solidFill>
                    <w14:schemeClr w14:val="tx1"/>
                  </w14:solidFill>
                </w14:textFill>
              </w:rPr>
              <w:t>股级</w:t>
            </w:r>
          </w:p>
        </w:tc>
        <w:tc>
          <w:tcPr>
            <w:tcW w:w="2495" w:type="dxa"/>
            <w:vAlign w:val="center"/>
          </w:tcPr>
          <w:p>
            <w:pPr>
              <w:spacing w:line="584" w:lineRule="exact"/>
              <w:jc w:val="center"/>
              <w:rPr>
                <w:rFonts w:ascii="Times New Roman" w:hAnsi="Times New Roman" w:eastAsia="仿宋_GB2312" w:cs="Times New Roman"/>
              </w:rPr>
            </w:pPr>
            <w:r>
              <w:rPr>
                <w:rFonts w:hint="eastAsia" w:ascii="仿宋_GB2312" w:hAnsi="仿宋_GB2312" w:eastAsia="仿宋_GB2312" w:cs="仿宋_GB2312"/>
                <w:bCs/>
                <w:color w:val="000000" w:themeColor="text1"/>
                <w:sz w:val="32"/>
                <w:szCs w:val="32"/>
                <w14:textFill>
                  <w14:solidFill>
                    <w14:schemeClr w14:val="tx1"/>
                  </w14:solidFill>
                </w14:textFill>
              </w:rPr>
              <w:t>差额拨款</w:t>
            </w:r>
          </w:p>
        </w:tc>
      </w:tr>
    </w:tbl>
    <w:p>
      <w:pPr>
        <w:ind w:firstLine="640" w:firstLineChars="200"/>
        <w:rPr>
          <w:rFonts w:hint="eastAsia" w:ascii="仿宋_GB2312" w:hAnsi="仿宋" w:eastAsia="仿宋_GB2312"/>
          <w:color w:val="333333"/>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2779.11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2779.11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2252.61万元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广阳区人民医院2022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2779.11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特定目标类项目支出</w:t>
      </w:r>
      <w:r>
        <w:rPr>
          <w:rFonts w:hint="eastAsia" w:ascii="Times New Roman" w:hAnsi="Times New Roman" w:eastAsia="仿宋_GB2312" w:cs="Times New Roman"/>
          <w:sz w:val="32"/>
          <w:szCs w:val="32"/>
        </w:rPr>
        <w:t>2779.11</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2779.11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2779.11</w:t>
      </w:r>
      <w:r>
        <w:rPr>
          <w:rFonts w:ascii="Times New Roman" w:hAnsi="Times New Roman" w:eastAsia="仿宋_GB2312" w:cs="Times New Roman"/>
          <w:sz w:val="32"/>
          <w:szCs w:val="32"/>
        </w:rPr>
        <w:t>万元，主要广阳区人民医院迁址新建项目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核酸检测实验室配建设施经费</w:t>
      </w:r>
      <w:r>
        <w:rPr>
          <w:rFonts w:hint="eastAsia" w:ascii="Times New Roman" w:hAnsi="Times New Roman" w:eastAsia="仿宋_GB2312" w:cs="Times New Roman"/>
          <w:sz w:val="32"/>
          <w:szCs w:val="32"/>
        </w:rPr>
        <w:t>项目等</w:t>
      </w:r>
      <w:r>
        <w:rPr>
          <w:rFonts w:ascii="Times New Roman" w:hAnsi="Times New Roman" w:eastAsia="仿宋_GB2312" w:cs="Times New Roman"/>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预算绩效信息</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eastAsia="仿宋_GB2312"/>
          <w:sz w:val="32"/>
        </w:rPr>
      </w:pPr>
      <w:r>
        <w:rPr>
          <w:rFonts w:eastAsia="仿宋_GB2312"/>
          <w:sz w:val="32"/>
        </w:rPr>
        <w:t>2022年，区</w:t>
      </w:r>
      <w:r>
        <w:rPr>
          <w:rFonts w:hint="eastAsia" w:eastAsia="仿宋_GB2312"/>
          <w:sz w:val="32"/>
        </w:rPr>
        <w:t>人民医院</w:t>
      </w:r>
      <w:r>
        <w:rPr>
          <w:rFonts w:eastAsia="仿宋_GB2312"/>
          <w:sz w:val="32"/>
        </w:rPr>
        <w:t>将会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全年目标如下：</w:t>
      </w:r>
    </w:p>
    <w:p>
      <w:pPr>
        <w:pStyle w:val="19"/>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一是进一步加强医联体建设，推进分级诊疗工作。细化流程，完善转诊模式，加强绿色通道建设，形成基层首诊，双向转诊，急慢分治，上下联动的分级诊疗的模式。</w:t>
      </w:r>
    </w:p>
    <w:p>
      <w:pPr>
        <w:pStyle w:val="19"/>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二</w:t>
      </w:r>
      <w:r>
        <w:rPr>
          <w:rFonts w:eastAsia="仿宋_GB2312"/>
          <w:sz w:val="32"/>
        </w:rPr>
        <w:t>是进一步推进基建项目。随时关注工程进度，及时解决工程中存在的问题，争取早日完工。</w:t>
      </w:r>
    </w:p>
    <w:p>
      <w:pPr>
        <w:pStyle w:val="19"/>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三</w:t>
      </w:r>
      <w:r>
        <w:rPr>
          <w:rFonts w:eastAsia="仿宋_GB2312"/>
          <w:sz w:val="32"/>
        </w:rPr>
        <w:t>是加强医疗废水的治理，尽快完成医疗污水处理设施配备，保障医疗安全。</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四</w:t>
      </w:r>
      <w:r>
        <w:rPr>
          <w:rFonts w:ascii="Times New Roman" w:hAnsi="Times New Roman" w:eastAsia="仿宋_GB2312"/>
          <w:sz w:val="32"/>
        </w:rPr>
        <w:t>是坚持“外防输入、内防反弹”总策略，健全完善疫情防控应急预案，科学研判疫情发展态势，精准落实疫情防控各项措施。</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1、</w:t>
      </w:r>
      <w:r>
        <w:rPr>
          <w:rFonts w:eastAsia="仿宋_GB2312"/>
          <w:sz w:val="32"/>
        </w:rPr>
        <w:t>疫情防控项目</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绩效目标：为保障我区疫情防控相关工作正常运转，方便各辖区更高效开展工作，更好服务疫情防控，保障公众身体健康与生命安全。</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绩效指标：保障我区疫情防控相关工作正常运转，全力做好疫情防控工作。</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2、</w:t>
      </w:r>
      <w:r>
        <w:rPr>
          <w:rFonts w:eastAsia="仿宋_GB2312"/>
          <w:sz w:val="32"/>
        </w:rPr>
        <w:t>基建项目</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绩效目标：按照实施计划，完成基建项目，使广阳区人民在当地享受到优质、高效、便捷的医疗服务，使医院在使用功能上满足各功能科室发展要求，优化卫生资源，改善医疗环境，给患者创造一个优雅、舒适的就医场所。</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绩效指标：完成各项指标，达到相对应预期，确保项目顺利完成。</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1、</w:t>
      </w:r>
      <w:r>
        <w:rPr>
          <w:rFonts w:eastAsia="仿宋_GB2312"/>
          <w:sz w:val="32"/>
        </w:rPr>
        <w:t>完善制度建设，加强制度管理，出台预算绩效管理制度。我局初步制定了《廊坊市广阳区卫生健康局预算绩效管理制度》并印发各科室，要求严格遵照执行，预算管理需严格贯彻落实中央八项规定和厉行节约的要求，牢固树立过“紧日子”的思想，坚持从严从紧编制预算，无论日常的专项工作经费，还是我局项目经费，都严格按标准执行，我局建立健全厉行节约反对浪费长效机制，使资金充分发挥最大效益。</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2、</w:t>
      </w:r>
      <w:r>
        <w:rPr>
          <w:rFonts w:eastAsia="仿宋_GB2312"/>
          <w:sz w:val="32"/>
        </w:rPr>
        <w:t>加强支出管理</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统一安排、归口管理。规范经济活动事项的分类、定义、范围及明细，按事项明确统筹管理</w:t>
      </w:r>
      <w:r>
        <w:rPr>
          <w:rFonts w:hint="eastAsia" w:eastAsia="仿宋_GB2312"/>
          <w:sz w:val="32"/>
          <w:lang w:eastAsia="zh-CN"/>
        </w:rPr>
        <w:t>单位</w:t>
      </w:r>
      <w:r>
        <w:rPr>
          <w:rFonts w:eastAsia="仿宋_GB2312"/>
          <w:sz w:val="32"/>
        </w:rPr>
        <w:t>及归口科室和管理职责。</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遵循“无预算不支出”和“分事行权”原则，综合运用预算额度、授权审批、定额标准、程序管控、单据控制等手段，保证各项经济活动支出依法依规开展。</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3、</w:t>
      </w:r>
      <w:r>
        <w:rPr>
          <w:rFonts w:eastAsia="仿宋_GB2312"/>
          <w:sz w:val="32"/>
        </w:rPr>
        <w:t>加强绩效运行监控</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我局领导高度重视，充分认识到专项资金绩效运行监控工作的重要性和紧迫性，要勇于探索，积极创新，统一思想认识，使预算绩效管理工作成为财务管理工作不可或缺的环节，全面加强各类专项资金管理，对绩效运行监控的真实性负责，加强绩效运行监控工作。</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hint="eastAsia" w:eastAsia="仿宋_GB2312"/>
          <w:sz w:val="32"/>
        </w:rPr>
        <w:t>4、</w:t>
      </w:r>
      <w:r>
        <w:rPr>
          <w:rFonts w:eastAsia="仿宋_GB2312"/>
          <w:sz w:val="32"/>
        </w:rPr>
        <w:t>做好绩效自评</w:t>
      </w:r>
    </w:p>
    <w:p>
      <w:pPr>
        <w:pStyle w:val="21"/>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由分管领导亲自安排，财务科牵头做好绩效自评工作，要求业务科室认真分析项目实施过程中遇到的情况和问题，有计划、有步骤地推动此项工作的开展。对各项目支出的立项依据是否充分、绩效目标设置是否细化量化、工作任务和要求是否明确、计划执行是否到位、绩效目标是否实现等情况进行逐一评价，以专业化的视角认真撰写自评报告。</w:t>
      </w:r>
    </w:p>
    <w:p>
      <w:pPr>
        <w:spacing w:line="584" w:lineRule="exact"/>
        <w:rPr>
          <w:rFonts w:ascii="仿宋_GB2312" w:eastAsia="仿宋_GB2312" w:cs="Times New Roman"/>
          <w:sz w:val="32"/>
          <w:szCs w:val="32"/>
          <w:highlight w:val="yellow"/>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center"/>
        <w:rPr>
          <w:rFonts w:ascii="Times New Roman" w:hAnsi="Times New Roman" w:eastAsia="仿宋_GB2312"/>
        </w:rPr>
      </w:pPr>
    </w:p>
    <w:p>
      <w:pPr>
        <w:jc w:val="center"/>
        <w:rPr>
          <w:rFonts w:ascii="Times New Roman" w:hAnsi="Times New Roman" w:eastAsia="仿宋_GB2312"/>
        </w:rPr>
      </w:pPr>
      <w:r>
        <w:rPr>
          <w:rFonts w:ascii="Times New Roman" w:hAnsi="Times New Roman" w:eastAsia="仿宋_GB2312" w:cs="方正仿宋_GBK"/>
          <w:color w:val="000000"/>
        </w:rPr>
        <w:t xml:space="preserve"> </w:t>
      </w:r>
    </w:p>
    <w:p>
      <w:pPr>
        <w:ind w:firstLine="560"/>
        <w:jc w:val="left"/>
        <w:outlineLvl w:val="3"/>
        <w:rPr>
          <w:rFonts w:ascii="Times New Roman" w:hAnsi="Times New Roman" w:eastAsia="仿宋_GB2312" w:cs="Times New Roman"/>
          <w:sz w:val="28"/>
        </w:rPr>
      </w:pPr>
      <w:bookmarkStart w:id="0" w:name="_Toc_4_4_0000000044"/>
      <w:r>
        <w:rPr>
          <w:rFonts w:ascii="Times New Roman" w:hAnsi="Times New Roman" w:eastAsia="仿宋_GB2312" w:cs="Times New Roman"/>
          <w:sz w:val="28"/>
        </w:rPr>
        <w:t>1.广阳区人民医院迁址新建项目资金专项经费绩效目标表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rPr>
            </w:pPr>
            <w:r>
              <w:rPr>
                <w:rFonts w:ascii="Times New Roman" w:hAnsi="Times New Roman" w:eastAsia="仿宋_GB2312"/>
              </w:rPr>
              <w:t>绩效目标</w:t>
            </w:r>
          </w:p>
        </w:tc>
        <w:tc>
          <w:tcPr>
            <w:tcW w:w="4285" w:type="pct"/>
            <w:vAlign w:val="center"/>
          </w:tcPr>
          <w:p>
            <w:pPr>
              <w:pStyle w:val="14"/>
              <w:rPr>
                <w:rFonts w:ascii="Times New Roman" w:hAnsi="Times New Roman" w:eastAsia="仿宋_GB2312"/>
              </w:rPr>
            </w:pPr>
            <w:r>
              <w:rPr>
                <w:rFonts w:ascii="Times New Roman" w:hAnsi="Times New Roman" w:eastAsia="仿宋_GB2312"/>
              </w:rPr>
              <w:t>1.2022年12月完成区人民医院迁址建设项目，极大地改善就医环境，提高服务质量。</w:t>
            </w:r>
          </w:p>
        </w:tc>
      </w:tr>
    </w:tbl>
    <w:p>
      <w:pPr>
        <w:spacing w:line="2" w:lineRule="exact"/>
        <w:jc w:val="center"/>
        <w:rPr>
          <w:rFonts w:ascii="Times New Roman" w:hAnsi="Times New Roman" w:eastAsia="仿宋_GB2312"/>
        </w:rPr>
      </w:pPr>
      <w:r>
        <w:rPr>
          <w:rFonts w:ascii="Times New Roman" w:hAnsi="Times New Roman" w:eastAsia="仿宋_GB2312" w:cs="方正书宋_GBK"/>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644" w:type="pct"/>
            <w:vAlign w:val="center"/>
          </w:tcPr>
          <w:p>
            <w:pPr>
              <w:pStyle w:val="12"/>
              <w:rPr>
                <w:rFonts w:ascii="Times New Roman" w:hAnsi="Times New Roman" w:eastAsia="仿宋_GB2312"/>
              </w:rPr>
            </w:pPr>
            <w:r>
              <w:rPr>
                <w:rFonts w:ascii="Times New Roman" w:hAnsi="Times New Roman" w:eastAsia="仿宋_GB2312"/>
              </w:rPr>
              <w:t>一级指标</w:t>
            </w:r>
          </w:p>
        </w:tc>
        <w:tc>
          <w:tcPr>
            <w:tcW w:w="644" w:type="pct"/>
            <w:vAlign w:val="center"/>
          </w:tcPr>
          <w:p>
            <w:pPr>
              <w:pStyle w:val="12"/>
              <w:rPr>
                <w:rFonts w:ascii="Times New Roman" w:hAnsi="Times New Roman" w:eastAsia="仿宋_GB2312"/>
              </w:rPr>
            </w:pPr>
            <w:r>
              <w:rPr>
                <w:rFonts w:ascii="Times New Roman" w:hAnsi="Times New Roman" w:eastAsia="仿宋_GB2312"/>
              </w:rPr>
              <w:t>二级指标</w:t>
            </w:r>
          </w:p>
        </w:tc>
        <w:tc>
          <w:tcPr>
            <w:tcW w:w="673" w:type="pct"/>
            <w:vAlign w:val="center"/>
          </w:tcPr>
          <w:p>
            <w:pPr>
              <w:pStyle w:val="12"/>
              <w:rPr>
                <w:rFonts w:ascii="Times New Roman" w:hAnsi="Times New Roman" w:eastAsia="仿宋_GB2312"/>
              </w:rPr>
            </w:pPr>
            <w:r>
              <w:rPr>
                <w:rFonts w:ascii="Times New Roman" w:hAnsi="Times New Roman" w:eastAsia="仿宋_GB2312"/>
              </w:rPr>
              <w:t>三级指标</w:t>
            </w:r>
          </w:p>
        </w:tc>
        <w:tc>
          <w:tcPr>
            <w:tcW w:w="1461" w:type="pct"/>
            <w:vAlign w:val="center"/>
          </w:tcPr>
          <w:p>
            <w:pPr>
              <w:pStyle w:val="12"/>
              <w:rPr>
                <w:rFonts w:ascii="Times New Roman" w:hAnsi="Times New Roman" w:eastAsia="仿宋_GB2312"/>
              </w:rPr>
            </w:pPr>
            <w:r>
              <w:rPr>
                <w:rFonts w:ascii="Times New Roman" w:hAnsi="Times New Roman" w:eastAsia="仿宋_GB2312"/>
              </w:rPr>
              <w:t>绩效指标描述</w:t>
            </w:r>
          </w:p>
        </w:tc>
        <w:tc>
          <w:tcPr>
            <w:tcW w:w="644" w:type="pct"/>
            <w:vAlign w:val="center"/>
          </w:tcPr>
          <w:p>
            <w:pPr>
              <w:pStyle w:val="12"/>
              <w:rPr>
                <w:rFonts w:ascii="Times New Roman" w:hAnsi="Times New Roman" w:eastAsia="仿宋_GB2312"/>
              </w:rPr>
            </w:pPr>
            <w:r>
              <w:rPr>
                <w:rFonts w:ascii="Times New Roman" w:hAnsi="Times New Roman" w:eastAsia="仿宋_GB2312"/>
              </w:rPr>
              <w:t>指标值</w:t>
            </w:r>
          </w:p>
        </w:tc>
        <w:tc>
          <w:tcPr>
            <w:tcW w:w="931" w:type="pct"/>
            <w:vAlign w:val="center"/>
          </w:tcPr>
          <w:p>
            <w:pPr>
              <w:pStyle w:val="12"/>
              <w:rPr>
                <w:rFonts w:ascii="Times New Roman" w:hAnsi="Times New Roman" w:eastAsia="仿宋_GB2312"/>
              </w:rPr>
            </w:pPr>
            <w:r>
              <w:rPr>
                <w:rFonts w:ascii="Times New Roman" w:hAnsi="Times New Roman" w:eastAsia="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Merge w:val="restart"/>
            <w:vAlign w:val="center"/>
          </w:tcPr>
          <w:p>
            <w:pPr>
              <w:pStyle w:val="15"/>
              <w:rPr>
                <w:rFonts w:ascii="Times New Roman" w:hAnsi="Times New Roman" w:eastAsia="仿宋_GB2312"/>
              </w:rPr>
            </w:pPr>
            <w:r>
              <w:rPr>
                <w:rFonts w:ascii="Times New Roman" w:hAnsi="Times New Roman" w:eastAsia="仿宋_GB2312"/>
              </w:rPr>
              <w:t>产出指标</w:t>
            </w:r>
          </w:p>
        </w:tc>
        <w:tc>
          <w:tcPr>
            <w:tcW w:w="644" w:type="pct"/>
            <w:vAlign w:val="center"/>
          </w:tcPr>
          <w:p>
            <w:pPr>
              <w:pStyle w:val="14"/>
              <w:rPr>
                <w:rFonts w:ascii="Times New Roman" w:hAnsi="Times New Roman" w:eastAsia="仿宋_GB2312"/>
              </w:rPr>
            </w:pPr>
            <w:r>
              <w:rPr>
                <w:rFonts w:ascii="Times New Roman" w:hAnsi="Times New Roman" w:eastAsia="仿宋_GB2312"/>
              </w:rPr>
              <w:t>数量指标</w:t>
            </w:r>
          </w:p>
        </w:tc>
        <w:tc>
          <w:tcPr>
            <w:tcW w:w="673" w:type="pct"/>
            <w:vAlign w:val="center"/>
          </w:tcPr>
          <w:p>
            <w:pPr>
              <w:pStyle w:val="14"/>
              <w:rPr>
                <w:rFonts w:ascii="Times New Roman" w:hAnsi="Times New Roman" w:eastAsia="仿宋_GB2312"/>
              </w:rPr>
            </w:pPr>
            <w:r>
              <w:rPr>
                <w:rFonts w:ascii="Times New Roman" w:hAnsi="Times New Roman" w:eastAsia="仿宋_GB2312"/>
              </w:rPr>
              <w:t>建筑面积</w:t>
            </w:r>
          </w:p>
        </w:tc>
        <w:tc>
          <w:tcPr>
            <w:tcW w:w="1461" w:type="pct"/>
            <w:vAlign w:val="center"/>
          </w:tcPr>
          <w:p>
            <w:pPr>
              <w:pStyle w:val="14"/>
              <w:rPr>
                <w:rFonts w:ascii="Times New Roman" w:hAnsi="Times New Roman" w:eastAsia="仿宋_GB2312"/>
              </w:rPr>
            </w:pPr>
            <w:r>
              <w:rPr>
                <w:rFonts w:ascii="Times New Roman" w:hAnsi="Times New Roman" w:eastAsia="仿宋_GB2312"/>
              </w:rPr>
              <w:t>完成地下建筑工程</w:t>
            </w:r>
          </w:p>
        </w:tc>
        <w:tc>
          <w:tcPr>
            <w:tcW w:w="644" w:type="pct"/>
            <w:vAlign w:val="center"/>
          </w:tcPr>
          <w:p>
            <w:pPr>
              <w:pStyle w:val="14"/>
              <w:rPr>
                <w:rFonts w:ascii="Times New Roman" w:hAnsi="Times New Roman" w:eastAsia="仿宋_GB2312"/>
              </w:rPr>
            </w:pPr>
            <w:r>
              <w:rPr>
                <w:rFonts w:ascii="Times New Roman" w:hAnsi="Times New Roman" w:eastAsia="仿宋_GB2312"/>
              </w:rPr>
              <w:t>≥27000平方米</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数量指标</w:t>
            </w:r>
          </w:p>
        </w:tc>
        <w:tc>
          <w:tcPr>
            <w:tcW w:w="673" w:type="pct"/>
            <w:vAlign w:val="center"/>
          </w:tcPr>
          <w:p>
            <w:pPr>
              <w:pStyle w:val="14"/>
              <w:rPr>
                <w:rFonts w:ascii="Times New Roman" w:hAnsi="Times New Roman" w:eastAsia="仿宋_GB2312"/>
              </w:rPr>
            </w:pPr>
            <w:r>
              <w:rPr>
                <w:rFonts w:ascii="Times New Roman" w:hAnsi="Times New Roman" w:eastAsia="仿宋_GB2312"/>
              </w:rPr>
              <w:t>绿化率</w:t>
            </w:r>
          </w:p>
        </w:tc>
        <w:tc>
          <w:tcPr>
            <w:tcW w:w="1461" w:type="pct"/>
            <w:vAlign w:val="center"/>
          </w:tcPr>
          <w:p>
            <w:pPr>
              <w:pStyle w:val="14"/>
              <w:rPr>
                <w:rFonts w:ascii="Times New Roman" w:hAnsi="Times New Roman" w:eastAsia="仿宋_GB2312"/>
              </w:rPr>
            </w:pPr>
            <w:r>
              <w:rPr>
                <w:rFonts w:ascii="Times New Roman" w:hAnsi="Times New Roman" w:eastAsia="仿宋_GB2312"/>
              </w:rPr>
              <w:t>绿化用地面积</w:t>
            </w:r>
          </w:p>
        </w:tc>
        <w:tc>
          <w:tcPr>
            <w:tcW w:w="644" w:type="pct"/>
            <w:vAlign w:val="center"/>
          </w:tcPr>
          <w:p>
            <w:pPr>
              <w:pStyle w:val="14"/>
              <w:rPr>
                <w:rFonts w:ascii="Times New Roman" w:hAnsi="Times New Roman" w:eastAsia="仿宋_GB2312"/>
              </w:rPr>
            </w:pPr>
            <w:r>
              <w:rPr>
                <w:rFonts w:ascii="Times New Roman" w:hAnsi="Times New Roman" w:eastAsia="仿宋_GB2312"/>
              </w:rPr>
              <w:t>35%</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质量指标</w:t>
            </w:r>
          </w:p>
        </w:tc>
        <w:tc>
          <w:tcPr>
            <w:tcW w:w="673" w:type="pct"/>
            <w:vAlign w:val="center"/>
          </w:tcPr>
          <w:p>
            <w:pPr>
              <w:pStyle w:val="14"/>
              <w:rPr>
                <w:rFonts w:ascii="Times New Roman" w:hAnsi="Times New Roman" w:eastAsia="仿宋_GB2312"/>
              </w:rPr>
            </w:pPr>
            <w:r>
              <w:rPr>
                <w:rFonts w:ascii="Times New Roman" w:hAnsi="Times New Roman" w:eastAsia="仿宋_GB2312"/>
              </w:rPr>
              <w:t>设备质量合格率</w:t>
            </w:r>
          </w:p>
        </w:tc>
        <w:tc>
          <w:tcPr>
            <w:tcW w:w="1461" w:type="pct"/>
            <w:vAlign w:val="center"/>
          </w:tcPr>
          <w:p>
            <w:pPr>
              <w:pStyle w:val="14"/>
              <w:rPr>
                <w:rFonts w:ascii="Times New Roman" w:hAnsi="Times New Roman" w:eastAsia="仿宋_GB2312"/>
              </w:rPr>
            </w:pPr>
            <w:r>
              <w:rPr>
                <w:rFonts w:ascii="Times New Roman" w:hAnsi="Times New Roman" w:eastAsia="仿宋_GB2312"/>
              </w:rPr>
              <w:t>购置医疗设备合格台数</w:t>
            </w:r>
          </w:p>
        </w:tc>
        <w:tc>
          <w:tcPr>
            <w:tcW w:w="644" w:type="pct"/>
            <w:vAlign w:val="center"/>
          </w:tcPr>
          <w:p>
            <w:pPr>
              <w:pStyle w:val="14"/>
              <w:rPr>
                <w:rFonts w:ascii="Times New Roman" w:hAnsi="Times New Roman" w:eastAsia="仿宋_GB2312"/>
              </w:rPr>
            </w:pPr>
            <w:r>
              <w:rPr>
                <w:rFonts w:ascii="Times New Roman" w:hAnsi="Times New Roman" w:eastAsia="仿宋_GB2312"/>
              </w:rPr>
              <w:t>100%</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时效指标</w:t>
            </w:r>
          </w:p>
        </w:tc>
        <w:tc>
          <w:tcPr>
            <w:tcW w:w="673" w:type="pct"/>
            <w:vAlign w:val="center"/>
          </w:tcPr>
          <w:p>
            <w:pPr>
              <w:pStyle w:val="14"/>
              <w:rPr>
                <w:rFonts w:ascii="Times New Roman" w:hAnsi="Times New Roman" w:eastAsia="仿宋_GB2312"/>
              </w:rPr>
            </w:pPr>
            <w:r>
              <w:rPr>
                <w:rFonts w:ascii="Times New Roman" w:hAnsi="Times New Roman" w:eastAsia="仿宋_GB2312"/>
              </w:rPr>
              <w:t>完成及时率</w:t>
            </w:r>
          </w:p>
        </w:tc>
        <w:tc>
          <w:tcPr>
            <w:tcW w:w="1461" w:type="pct"/>
            <w:vAlign w:val="center"/>
          </w:tcPr>
          <w:p>
            <w:pPr>
              <w:pStyle w:val="14"/>
              <w:rPr>
                <w:rFonts w:ascii="Times New Roman" w:hAnsi="Times New Roman" w:eastAsia="仿宋_GB2312"/>
              </w:rPr>
            </w:pPr>
            <w:r>
              <w:rPr>
                <w:rFonts w:ascii="Times New Roman" w:hAnsi="Times New Roman" w:eastAsia="仿宋_GB2312"/>
              </w:rPr>
              <w:t>项目实际完成时间</w:t>
            </w:r>
          </w:p>
        </w:tc>
        <w:tc>
          <w:tcPr>
            <w:tcW w:w="644" w:type="pct"/>
            <w:vAlign w:val="center"/>
          </w:tcPr>
          <w:p>
            <w:pPr>
              <w:pStyle w:val="14"/>
              <w:rPr>
                <w:rFonts w:ascii="Times New Roman" w:hAnsi="Times New Roman" w:eastAsia="仿宋_GB2312"/>
              </w:rPr>
            </w:pPr>
            <w:r>
              <w:rPr>
                <w:rFonts w:ascii="Times New Roman" w:hAnsi="Times New Roman" w:eastAsia="仿宋_GB2312"/>
              </w:rPr>
              <w:t>按时完成</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成本指标</w:t>
            </w:r>
          </w:p>
        </w:tc>
        <w:tc>
          <w:tcPr>
            <w:tcW w:w="673" w:type="pct"/>
            <w:vAlign w:val="center"/>
          </w:tcPr>
          <w:p>
            <w:pPr>
              <w:pStyle w:val="14"/>
              <w:rPr>
                <w:rFonts w:ascii="Times New Roman" w:hAnsi="Times New Roman" w:eastAsia="仿宋_GB2312"/>
              </w:rPr>
            </w:pPr>
            <w:r>
              <w:rPr>
                <w:rFonts w:ascii="Times New Roman" w:hAnsi="Times New Roman" w:eastAsia="仿宋_GB2312"/>
              </w:rPr>
              <w:t>项目预算控制数</w:t>
            </w:r>
          </w:p>
        </w:tc>
        <w:tc>
          <w:tcPr>
            <w:tcW w:w="1461" w:type="pct"/>
            <w:vAlign w:val="center"/>
          </w:tcPr>
          <w:p>
            <w:pPr>
              <w:pStyle w:val="14"/>
              <w:rPr>
                <w:rFonts w:ascii="Times New Roman" w:hAnsi="Times New Roman" w:eastAsia="仿宋_GB2312"/>
              </w:rPr>
            </w:pPr>
            <w:r>
              <w:rPr>
                <w:rFonts w:ascii="Times New Roman" w:hAnsi="Times New Roman" w:eastAsia="仿宋_GB2312"/>
              </w:rPr>
              <w:t>项目实际使用的预算金额</w:t>
            </w:r>
          </w:p>
        </w:tc>
        <w:tc>
          <w:tcPr>
            <w:tcW w:w="644" w:type="pct"/>
            <w:vAlign w:val="center"/>
          </w:tcPr>
          <w:p>
            <w:pPr>
              <w:pStyle w:val="14"/>
              <w:rPr>
                <w:rFonts w:ascii="Times New Roman" w:hAnsi="Times New Roman" w:eastAsia="仿宋_GB2312"/>
              </w:rPr>
            </w:pPr>
            <w:r>
              <w:rPr>
                <w:rFonts w:ascii="Times New Roman" w:hAnsi="Times New Roman" w:eastAsia="仿宋_GB2312"/>
              </w:rPr>
              <w:t>2252.61万元吗</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Merge w:val="restart"/>
            <w:vAlign w:val="center"/>
          </w:tcPr>
          <w:p>
            <w:pPr>
              <w:pStyle w:val="15"/>
              <w:rPr>
                <w:rFonts w:ascii="Times New Roman" w:hAnsi="Times New Roman" w:eastAsia="仿宋_GB2312"/>
              </w:rPr>
            </w:pPr>
            <w:r>
              <w:rPr>
                <w:rFonts w:ascii="Times New Roman" w:hAnsi="Times New Roman" w:eastAsia="仿宋_GB2312"/>
              </w:rPr>
              <w:t>效益指标</w:t>
            </w:r>
          </w:p>
        </w:tc>
        <w:tc>
          <w:tcPr>
            <w:tcW w:w="644" w:type="pct"/>
            <w:vAlign w:val="center"/>
          </w:tcPr>
          <w:p>
            <w:pPr>
              <w:pStyle w:val="14"/>
              <w:rPr>
                <w:rFonts w:ascii="Times New Roman" w:hAnsi="Times New Roman" w:eastAsia="仿宋_GB2312"/>
              </w:rPr>
            </w:pPr>
            <w:r>
              <w:rPr>
                <w:rFonts w:ascii="Times New Roman" w:hAnsi="Times New Roman" w:eastAsia="仿宋_GB2312"/>
              </w:rPr>
              <w:t>经济效益指标</w:t>
            </w:r>
          </w:p>
        </w:tc>
        <w:tc>
          <w:tcPr>
            <w:tcW w:w="673" w:type="pct"/>
            <w:vAlign w:val="center"/>
          </w:tcPr>
          <w:p>
            <w:pPr>
              <w:pStyle w:val="14"/>
              <w:rPr>
                <w:rFonts w:ascii="Times New Roman" w:hAnsi="Times New Roman" w:eastAsia="仿宋_GB2312"/>
              </w:rPr>
            </w:pPr>
            <w:r>
              <w:rPr>
                <w:rFonts w:ascii="Times New Roman" w:hAnsi="Times New Roman" w:eastAsia="仿宋_GB2312"/>
              </w:rPr>
              <w:t>社会效益影响力</w:t>
            </w:r>
          </w:p>
        </w:tc>
        <w:tc>
          <w:tcPr>
            <w:tcW w:w="1461" w:type="pct"/>
            <w:vAlign w:val="center"/>
          </w:tcPr>
          <w:p>
            <w:pPr>
              <w:pStyle w:val="14"/>
              <w:rPr>
                <w:rFonts w:ascii="Times New Roman" w:hAnsi="Times New Roman" w:eastAsia="仿宋_GB2312"/>
              </w:rPr>
            </w:pPr>
            <w:r>
              <w:rPr>
                <w:rFonts w:ascii="Times New Roman" w:hAnsi="Times New Roman" w:eastAsia="仿宋_GB2312"/>
              </w:rPr>
              <w:t>项目完成后改善就医环境，提高医疗服务水平</w:t>
            </w:r>
          </w:p>
        </w:tc>
        <w:tc>
          <w:tcPr>
            <w:tcW w:w="644" w:type="pct"/>
            <w:vAlign w:val="center"/>
          </w:tcPr>
          <w:p>
            <w:pPr>
              <w:pStyle w:val="14"/>
              <w:rPr>
                <w:rFonts w:ascii="Times New Roman" w:hAnsi="Times New Roman" w:eastAsia="仿宋_GB2312"/>
              </w:rPr>
            </w:pPr>
            <w:r>
              <w:rPr>
                <w:rFonts w:ascii="Times New Roman" w:hAnsi="Times New Roman" w:eastAsia="仿宋_GB2312"/>
              </w:rPr>
              <w:t>提高</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社会效益指标</w:t>
            </w:r>
          </w:p>
        </w:tc>
        <w:tc>
          <w:tcPr>
            <w:tcW w:w="673" w:type="pct"/>
            <w:vAlign w:val="center"/>
          </w:tcPr>
          <w:p>
            <w:pPr>
              <w:pStyle w:val="14"/>
              <w:rPr>
                <w:rFonts w:ascii="Times New Roman" w:hAnsi="Times New Roman" w:eastAsia="仿宋_GB2312"/>
              </w:rPr>
            </w:pPr>
            <w:r>
              <w:rPr>
                <w:rFonts w:ascii="Times New Roman" w:hAnsi="Times New Roman" w:eastAsia="仿宋_GB2312"/>
              </w:rPr>
              <w:t>可持续影响力</w:t>
            </w:r>
          </w:p>
        </w:tc>
        <w:tc>
          <w:tcPr>
            <w:tcW w:w="1461" w:type="pct"/>
            <w:vAlign w:val="center"/>
          </w:tcPr>
          <w:p>
            <w:pPr>
              <w:pStyle w:val="14"/>
              <w:rPr>
                <w:rFonts w:ascii="Times New Roman" w:hAnsi="Times New Roman" w:eastAsia="仿宋_GB2312"/>
              </w:rPr>
            </w:pPr>
            <w:r>
              <w:rPr>
                <w:rFonts w:ascii="Times New Roman" w:hAnsi="Times New Roman" w:eastAsia="仿宋_GB2312"/>
              </w:rPr>
              <w:t>项目完成后对医疗卫生事业和医患关系的改善带来可持续的影响</w:t>
            </w:r>
          </w:p>
        </w:tc>
        <w:tc>
          <w:tcPr>
            <w:tcW w:w="644" w:type="pct"/>
            <w:vAlign w:val="center"/>
          </w:tcPr>
          <w:p>
            <w:pPr>
              <w:pStyle w:val="14"/>
              <w:rPr>
                <w:rFonts w:ascii="Times New Roman" w:hAnsi="Times New Roman" w:eastAsia="仿宋_GB2312"/>
              </w:rPr>
            </w:pPr>
            <w:r>
              <w:rPr>
                <w:rFonts w:ascii="Times New Roman" w:hAnsi="Times New Roman" w:eastAsia="仿宋_GB2312"/>
              </w:rPr>
              <w:t>可持续</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644" w:type="pct"/>
            <w:vAlign w:val="center"/>
          </w:tcPr>
          <w:p>
            <w:pPr>
              <w:pStyle w:val="15"/>
              <w:rPr>
                <w:rFonts w:ascii="Times New Roman" w:hAnsi="Times New Roman" w:eastAsia="仿宋_GB2312"/>
              </w:rPr>
            </w:pPr>
            <w:r>
              <w:rPr>
                <w:rFonts w:ascii="Times New Roman" w:hAnsi="Times New Roman" w:eastAsia="仿宋_GB2312"/>
              </w:rPr>
              <w:t>满意度指标</w:t>
            </w:r>
          </w:p>
        </w:tc>
        <w:tc>
          <w:tcPr>
            <w:tcW w:w="644" w:type="pct"/>
            <w:vAlign w:val="center"/>
          </w:tcPr>
          <w:p>
            <w:pPr>
              <w:pStyle w:val="14"/>
              <w:rPr>
                <w:rFonts w:ascii="Times New Roman" w:hAnsi="Times New Roman" w:eastAsia="仿宋_GB2312"/>
              </w:rPr>
            </w:pPr>
            <w:r>
              <w:rPr>
                <w:rFonts w:ascii="Times New Roman" w:hAnsi="Times New Roman" w:eastAsia="仿宋_GB2312"/>
              </w:rPr>
              <w:t>服务对象满意度指标</w:t>
            </w:r>
          </w:p>
        </w:tc>
        <w:tc>
          <w:tcPr>
            <w:tcW w:w="673" w:type="pct"/>
            <w:vAlign w:val="center"/>
          </w:tcPr>
          <w:p>
            <w:pPr>
              <w:pStyle w:val="14"/>
              <w:rPr>
                <w:rFonts w:ascii="Times New Roman" w:hAnsi="Times New Roman" w:eastAsia="仿宋_GB2312"/>
              </w:rPr>
            </w:pPr>
            <w:r>
              <w:rPr>
                <w:rFonts w:ascii="Times New Roman" w:hAnsi="Times New Roman" w:eastAsia="仿宋_GB2312"/>
              </w:rPr>
              <w:t>受益对象满意度</w:t>
            </w:r>
          </w:p>
        </w:tc>
        <w:tc>
          <w:tcPr>
            <w:tcW w:w="1461" w:type="pct"/>
            <w:vAlign w:val="center"/>
          </w:tcPr>
          <w:p>
            <w:pPr>
              <w:pStyle w:val="14"/>
              <w:rPr>
                <w:rFonts w:ascii="Times New Roman" w:hAnsi="Times New Roman" w:eastAsia="仿宋_GB2312"/>
              </w:rPr>
            </w:pPr>
            <w:r>
              <w:rPr>
                <w:rFonts w:ascii="Times New Roman" w:hAnsi="Times New Roman" w:eastAsia="仿宋_GB2312"/>
              </w:rPr>
              <w:t>项目完成后受益对象对项目结果的满意程度</w:t>
            </w:r>
          </w:p>
        </w:tc>
        <w:tc>
          <w:tcPr>
            <w:tcW w:w="644" w:type="pct"/>
            <w:vAlign w:val="center"/>
          </w:tcPr>
          <w:p>
            <w:pPr>
              <w:pStyle w:val="14"/>
              <w:rPr>
                <w:rFonts w:ascii="Times New Roman" w:hAnsi="Times New Roman" w:eastAsia="仿宋_GB2312"/>
              </w:rPr>
            </w:pPr>
            <w:r>
              <w:rPr>
                <w:rFonts w:ascii="Times New Roman" w:hAnsi="Times New Roman" w:eastAsia="仿宋_GB2312"/>
              </w:rPr>
              <w:t>≥90%</w:t>
            </w:r>
          </w:p>
        </w:tc>
        <w:tc>
          <w:tcPr>
            <w:tcW w:w="931" w:type="pct"/>
            <w:vAlign w:val="center"/>
          </w:tcPr>
          <w:p>
            <w:pPr>
              <w:pStyle w:val="14"/>
              <w:rPr>
                <w:rFonts w:ascii="Times New Roman" w:hAnsi="Times New Roman" w:eastAsia="仿宋_GB2312"/>
              </w:rPr>
            </w:pPr>
            <w:r>
              <w:rPr>
                <w:rFonts w:ascii="Times New Roman" w:hAnsi="Times New Roman" w:eastAsia="仿宋_GB2312"/>
              </w:rPr>
              <w:t>廊广发改【2020】31号</w:t>
            </w:r>
          </w:p>
        </w:tc>
      </w:tr>
    </w:tbl>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ind w:firstLine="560"/>
        <w:jc w:val="left"/>
        <w:outlineLvl w:val="3"/>
        <w:rPr>
          <w:rFonts w:ascii="Times New Roman" w:hAnsi="Times New Roman" w:eastAsia="仿宋_GB2312" w:cs="Times New Roman"/>
          <w:sz w:val="28"/>
        </w:rPr>
      </w:pPr>
      <w:bookmarkStart w:id="1" w:name="_Toc_4_4_0000000045"/>
    </w:p>
    <w:p>
      <w:pPr>
        <w:ind w:firstLine="560"/>
        <w:jc w:val="left"/>
        <w:outlineLvl w:val="3"/>
        <w:rPr>
          <w:rFonts w:ascii="Times New Roman" w:hAnsi="Times New Roman" w:eastAsia="仿宋_GB2312" w:cs="Times New Roman"/>
          <w:sz w:val="28"/>
        </w:rPr>
      </w:pPr>
    </w:p>
    <w:p>
      <w:pPr>
        <w:ind w:firstLine="560"/>
        <w:jc w:val="left"/>
        <w:outlineLvl w:val="3"/>
        <w:rPr>
          <w:rFonts w:ascii="Times New Roman" w:hAnsi="Times New Roman" w:eastAsia="仿宋_GB2312" w:cs="Times New Roman"/>
          <w:sz w:val="28"/>
        </w:rPr>
      </w:pPr>
    </w:p>
    <w:p>
      <w:pPr>
        <w:ind w:firstLine="560"/>
        <w:jc w:val="left"/>
        <w:outlineLvl w:val="3"/>
        <w:rPr>
          <w:rFonts w:ascii="Times New Roman" w:hAnsi="Times New Roman" w:eastAsia="仿宋_GB2312" w:cs="Times New Roman"/>
          <w:sz w:val="28"/>
        </w:rPr>
      </w:pPr>
    </w:p>
    <w:p>
      <w:pPr>
        <w:ind w:firstLine="560"/>
        <w:jc w:val="left"/>
        <w:outlineLvl w:val="3"/>
        <w:rPr>
          <w:rFonts w:ascii="Times New Roman" w:hAnsi="Times New Roman" w:eastAsia="仿宋_GB2312" w:cs="Times New Roman"/>
          <w:sz w:val="28"/>
        </w:rPr>
      </w:pPr>
    </w:p>
    <w:p>
      <w:pPr>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2.核酸检测实验室配建设施经费绩效目标表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2"/>
              <w:rPr>
                <w:rFonts w:ascii="Times New Roman" w:hAnsi="Times New Roman" w:eastAsia="仿宋_GB2312"/>
              </w:rPr>
            </w:pPr>
            <w:r>
              <w:rPr>
                <w:rFonts w:ascii="Times New Roman" w:hAnsi="Times New Roman" w:eastAsia="仿宋_GB2312"/>
              </w:rPr>
              <w:t>绩效目标</w:t>
            </w:r>
          </w:p>
        </w:tc>
        <w:tc>
          <w:tcPr>
            <w:tcW w:w="4285" w:type="pct"/>
            <w:vAlign w:val="center"/>
          </w:tcPr>
          <w:p>
            <w:pPr>
              <w:pStyle w:val="14"/>
              <w:rPr>
                <w:rFonts w:ascii="Times New Roman" w:hAnsi="Times New Roman" w:eastAsia="仿宋_GB2312"/>
              </w:rPr>
            </w:pPr>
            <w:r>
              <w:rPr>
                <w:rFonts w:ascii="Times New Roman" w:hAnsi="Times New Roman" w:eastAsia="仿宋_GB2312"/>
              </w:rPr>
              <w:t>1.改善现有院区办医条件，增强疫情防控能力及完善PCR实验室配套设施。</w:t>
            </w:r>
          </w:p>
        </w:tc>
      </w:tr>
    </w:tbl>
    <w:p>
      <w:pPr>
        <w:spacing w:line="2" w:lineRule="exact"/>
        <w:jc w:val="center"/>
        <w:rPr>
          <w:rFonts w:ascii="Times New Roman" w:hAnsi="Times New Roman" w:eastAsia="仿宋_GB2312"/>
        </w:rPr>
      </w:pPr>
      <w:r>
        <w:rPr>
          <w:rFonts w:ascii="Times New Roman" w:hAnsi="Times New Roman" w:eastAsia="仿宋_GB2312" w:cs="方正书宋_GBK"/>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tblHeader/>
          <w:jc w:val="center"/>
        </w:trPr>
        <w:tc>
          <w:tcPr>
            <w:tcW w:w="644" w:type="pct"/>
            <w:vAlign w:val="center"/>
          </w:tcPr>
          <w:p>
            <w:pPr>
              <w:pStyle w:val="12"/>
              <w:rPr>
                <w:rFonts w:ascii="Times New Roman" w:hAnsi="Times New Roman" w:eastAsia="仿宋_GB2312"/>
              </w:rPr>
            </w:pPr>
            <w:r>
              <w:rPr>
                <w:rFonts w:ascii="Times New Roman" w:hAnsi="Times New Roman" w:eastAsia="仿宋_GB2312"/>
              </w:rPr>
              <w:t>一级指标</w:t>
            </w:r>
          </w:p>
        </w:tc>
        <w:tc>
          <w:tcPr>
            <w:tcW w:w="644" w:type="pct"/>
            <w:vAlign w:val="center"/>
          </w:tcPr>
          <w:p>
            <w:pPr>
              <w:pStyle w:val="12"/>
              <w:rPr>
                <w:rFonts w:ascii="Times New Roman" w:hAnsi="Times New Roman" w:eastAsia="仿宋_GB2312"/>
              </w:rPr>
            </w:pPr>
            <w:r>
              <w:rPr>
                <w:rFonts w:ascii="Times New Roman" w:hAnsi="Times New Roman" w:eastAsia="仿宋_GB2312"/>
              </w:rPr>
              <w:t>二级指标</w:t>
            </w:r>
          </w:p>
        </w:tc>
        <w:tc>
          <w:tcPr>
            <w:tcW w:w="673" w:type="pct"/>
            <w:vAlign w:val="center"/>
          </w:tcPr>
          <w:p>
            <w:pPr>
              <w:pStyle w:val="12"/>
              <w:rPr>
                <w:rFonts w:ascii="Times New Roman" w:hAnsi="Times New Roman" w:eastAsia="仿宋_GB2312"/>
              </w:rPr>
            </w:pPr>
            <w:r>
              <w:rPr>
                <w:rFonts w:ascii="Times New Roman" w:hAnsi="Times New Roman" w:eastAsia="仿宋_GB2312"/>
              </w:rPr>
              <w:t>三级指标</w:t>
            </w:r>
          </w:p>
        </w:tc>
        <w:tc>
          <w:tcPr>
            <w:tcW w:w="1461" w:type="pct"/>
            <w:vAlign w:val="center"/>
          </w:tcPr>
          <w:p>
            <w:pPr>
              <w:pStyle w:val="12"/>
              <w:rPr>
                <w:rFonts w:ascii="Times New Roman" w:hAnsi="Times New Roman" w:eastAsia="仿宋_GB2312"/>
              </w:rPr>
            </w:pPr>
            <w:r>
              <w:rPr>
                <w:rFonts w:ascii="Times New Roman" w:hAnsi="Times New Roman" w:eastAsia="仿宋_GB2312"/>
              </w:rPr>
              <w:t>绩效指标描述</w:t>
            </w:r>
          </w:p>
        </w:tc>
        <w:tc>
          <w:tcPr>
            <w:tcW w:w="644" w:type="pct"/>
            <w:vAlign w:val="center"/>
          </w:tcPr>
          <w:p>
            <w:pPr>
              <w:pStyle w:val="12"/>
              <w:rPr>
                <w:rFonts w:ascii="Times New Roman" w:hAnsi="Times New Roman" w:eastAsia="仿宋_GB2312"/>
              </w:rPr>
            </w:pPr>
            <w:r>
              <w:rPr>
                <w:rFonts w:ascii="Times New Roman" w:hAnsi="Times New Roman" w:eastAsia="仿宋_GB2312"/>
              </w:rPr>
              <w:t>指标值</w:t>
            </w:r>
          </w:p>
        </w:tc>
        <w:tc>
          <w:tcPr>
            <w:tcW w:w="931" w:type="pct"/>
            <w:vAlign w:val="center"/>
          </w:tcPr>
          <w:p>
            <w:pPr>
              <w:pStyle w:val="12"/>
              <w:rPr>
                <w:rFonts w:ascii="Times New Roman" w:hAnsi="Times New Roman" w:eastAsia="仿宋_GB2312"/>
              </w:rPr>
            </w:pPr>
            <w:r>
              <w:rPr>
                <w:rFonts w:ascii="Times New Roman" w:hAnsi="Times New Roman" w:eastAsia="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644" w:type="pct"/>
            <w:vMerge w:val="restart"/>
            <w:vAlign w:val="center"/>
          </w:tcPr>
          <w:p>
            <w:pPr>
              <w:pStyle w:val="15"/>
              <w:rPr>
                <w:rFonts w:ascii="Times New Roman" w:hAnsi="Times New Roman" w:eastAsia="仿宋_GB2312"/>
              </w:rPr>
            </w:pPr>
            <w:r>
              <w:rPr>
                <w:rFonts w:ascii="Times New Roman" w:hAnsi="Times New Roman" w:eastAsia="仿宋_GB2312"/>
              </w:rPr>
              <w:t>产出指标</w:t>
            </w:r>
          </w:p>
        </w:tc>
        <w:tc>
          <w:tcPr>
            <w:tcW w:w="644" w:type="pct"/>
            <w:vAlign w:val="center"/>
          </w:tcPr>
          <w:p>
            <w:pPr>
              <w:pStyle w:val="14"/>
              <w:rPr>
                <w:rFonts w:ascii="Times New Roman" w:hAnsi="Times New Roman" w:eastAsia="仿宋_GB2312"/>
              </w:rPr>
            </w:pPr>
            <w:r>
              <w:rPr>
                <w:rFonts w:ascii="Times New Roman" w:hAnsi="Times New Roman" w:eastAsia="仿宋_GB2312"/>
              </w:rPr>
              <w:t>数量指标</w:t>
            </w:r>
          </w:p>
        </w:tc>
        <w:tc>
          <w:tcPr>
            <w:tcW w:w="673" w:type="pct"/>
            <w:vAlign w:val="center"/>
          </w:tcPr>
          <w:p>
            <w:pPr>
              <w:pStyle w:val="14"/>
              <w:rPr>
                <w:rFonts w:ascii="Times New Roman" w:hAnsi="Times New Roman" w:eastAsia="仿宋_GB2312"/>
              </w:rPr>
            </w:pPr>
            <w:r>
              <w:rPr>
                <w:rFonts w:ascii="Times New Roman" w:hAnsi="Times New Roman" w:eastAsia="仿宋_GB2312"/>
              </w:rPr>
              <w:t>保障疫情期间群众就诊</w:t>
            </w:r>
          </w:p>
        </w:tc>
        <w:tc>
          <w:tcPr>
            <w:tcW w:w="1461" w:type="pct"/>
            <w:vAlign w:val="center"/>
          </w:tcPr>
          <w:p>
            <w:pPr>
              <w:pStyle w:val="14"/>
              <w:rPr>
                <w:rFonts w:ascii="Times New Roman" w:hAnsi="Times New Roman" w:eastAsia="仿宋_GB2312"/>
              </w:rPr>
            </w:pPr>
            <w:r>
              <w:rPr>
                <w:rFonts w:ascii="Times New Roman" w:hAnsi="Times New Roman" w:eastAsia="仿宋_GB2312"/>
              </w:rPr>
              <w:t>保障疫情期间群众核酸检测及疫苗接种</w:t>
            </w:r>
          </w:p>
        </w:tc>
        <w:tc>
          <w:tcPr>
            <w:tcW w:w="644" w:type="pct"/>
            <w:vAlign w:val="center"/>
          </w:tcPr>
          <w:p>
            <w:pPr>
              <w:pStyle w:val="14"/>
              <w:rPr>
                <w:rFonts w:ascii="Times New Roman" w:hAnsi="Times New Roman" w:eastAsia="仿宋_GB2312"/>
              </w:rPr>
            </w:pPr>
            <w:r>
              <w:rPr>
                <w:rFonts w:ascii="Times New Roman" w:hAnsi="Times New Roman" w:eastAsia="仿宋_GB2312"/>
              </w:rPr>
              <w:t>及时保障</w:t>
            </w:r>
          </w:p>
        </w:tc>
        <w:tc>
          <w:tcPr>
            <w:tcW w:w="931" w:type="pct"/>
            <w:vAlign w:val="center"/>
          </w:tcPr>
          <w:p>
            <w:pPr>
              <w:pStyle w:val="14"/>
              <w:rPr>
                <w:rFonts w:ascii="Times New Roman" w:hAnsi="Times New Roman" w:eastAsia="仿宋_GB2312"/>
              </w:rPr>
            </w:pPr>
            <w:r>
              <w:rPr>
                <w:rFonts w:ascii="Times New Roman" w:hAnsi="Times New Roman" w:eastAsia="仿宋_GB231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质量指标</w:t>
            </w:r>
          </w:p>
        </w:tc>
        <w:tc>
          <w:tcPr>
            <w:tcW w:w="673" w:type="pct"/>
            <w:vAlign w:val="center"/>
          </w:tcPr>
          <w:p>
            <w:pPr>
              <w:pStyle w:val="14"/>
              <w:rPr>
                <w:rFonts w:ascii="Times New Roman" w:hAnsi="Times New Roman" w:eastAsia="仿宋_GB2312"/>
              </w:rPr>
            </w:pPr>
            <w:r>
              <w:rPr>
                <w:rFonts w:ascii="Times New Roman" w:hAnsi="Times New Roman" w:eastAsia="仿宋_GB2312"/>
              </w:rPr>
              <w:t>运转保障率</w:t>
            </w:r>
          </w:p>
        </w:tc>
        <w:tc>
          <w:tcPr>
            <w:tcW w:w="1461" w:type="pct"/>
            <w:vAlign w:val="center"/>
          </w:tcPr>
          <w:p>
            <w:pPr>
              <w:pStyle w:val="14"/>
              <w:rPr>
                <w:rFonts w:ascii="Times New Roman" w:hAnsi="Times New Roman" w:eastAsia="仿宋_GB2312"/>
              </w:rPr>
            </w:pPr>
            <w:r>
              <w:rPr>
                <w:rFonts w:ascii="Times New Roman" w:hAnsi="Times New Roman" w:eastAsia="仿宋_GB2312"/>
              </w:rPr>
              <w:t>核酸检测工作保障率</w:t>
            </w:r>
          </w:p>
        </w:tc>
        <w:tc>
          <w:tcPr>
            <w:tcW w:w="644" w:type="pct"/>
            <w:vAlign w:val="center"/>
          </w:tcPr>
          <w:p>
            <w:pPr>
              <w:pStyle w:val="14"/>
              <w:rPr>
                <w:rFonts w:ascii="Times New Roman" w:hAnsi="Times New Roman" w:eastAsia="仿宋_GB2312"/>
              </w:rPr>
            </w:pPr>
            <w:r>
              <w:rPr>
                <w:rFonts w:ascii="Times New Roman" w:hAnsi="Times New Roman" w:eastAsia="仿宋_GB2312"/>
              </w:rPr>
              <w:t>100%</w:t>
            </w:r>
          </w:p>
        </w:tc>
        <w:tc>
          <w:tcPr>
            <w:tcW w:w="931" w:type="pct"/>
            <w:vAlign w:val="center"/>
          </w:tcPr>
          <w:p>
            <w:pPr>
              <w:pStyle w:val="14"/>
              <w:rPr>
                <w:rFonts w:ascii="Times New Roman" w:hAnsi="Times New Roman" w:eastAsia="仿宋_GB2312"/>
              </w:rPr>
            </w:pPr>
            <w:r>
              <w:rPr>
                <w:rFonts w:ascii="Times New Roman" w:hAnsi="Times New Roman" w:eastAsia="仿宋_GB231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时效指标</w:t>
            </w:r>
          </w:p>
        </w:tc>
        <w:tc>
          <w:tcPr>
            <w:tcW w:w="673" w:type="pct"/>
            <w:vAlign w:val="center"/>
          </w:tcPr>
          <w:p>
            <w:pPr>
              <w:pStyle w:val="14"/>
              <w:rPr>
                <w:rFonts w:ascii="Times New Roman" w:hAnsi="Times New Roman" w:eastAsia="仿宋_GB2312"/>
              </w:rPr>
            </w:pPr>
            <w:r>
              <w:rPr>
                <w:rFonts w:ascii="Times New Roman" w:hAnsi="Times New Roman" w:eastAsia="仿宋_GB2312"/>
              </w:rPr>
              <w:t>改造建设工程及时完成</w:t>
            </w:r>
          </w:p>
        </w:tc>
        <w:tc>
          <w:tcPr>
            <w:tcW w:w="1461" w:type="pct"/>
            <w:vAlign w:val="center"/>
          </w:tcPr>
          <w:p>
            <w:pPr>
              <w:pStyle w:val="14"/>
              <w:rPr>
                <w:rFonts w:ascii="Times New Roman" w:hAnsi="Times New Roman" w:eastAsia="仿宋_GB2312"/>
              </w:rPr>
            </w:pPr>
            <w:r>
              <w:rPr>
                <w:rFonts w:ascii="Times New Roman" w:hAnsi="Times New Roman" w:eastAsia="仿宋_GB2312"/>
              </w:rPr>
              <w:t>改造建设工程及时完成</w:t>
            </w:r>
          </w:p>
        </w:tc>
        <w:tc>
          <w:tcPr>
            <w:tcW w:w="644" w:type="pct"/>
            <w:vAlign w:val="center"/>
          </w:tcPr>
          <w:p>
            <w:pPr>
              <w:pStyle w:val="14"/>
              <w:rPr>
                <w:rFonts w:ascii="Times New Roman" w:hAnsi="Times New Roman" w:eastAsia="仿宋_GB2312"/>
              </w:rPr>
            </w:pPr>
            <w:r>
              <w:rPr>
                <w:rFonts w:ascii="Times New Roman" w:hAnsi="Times New Roman" w:eastAsia="仿宋_GB2312"/>
              </w:rPr>
              <w:t>及时完成</w:t>
            </w:r>
          </w:p>
        </w:tc>
        <w:tc>
          <w:tcPr>
            <w:tcW w:w="931" w:type="pct"/>
            <w:vAlign w:val="center"/>
          </w:tcPr>
          <w:p>
            <w:pPr>
              <w:pStyle w:val="14"/>
              <w:rPr>
                <w:rFonts w:ascii="Times New Roman" w:hAnsi="Times New Roman" w:eastAsia="仿宋_GB2312"/>
              </w:rPr>
            </w:pPr>
            <w:r>
              <w:rPr>
                <w:rFonts w:ascii="Times New Roman" w:hAnsi="Times New Roman" w:eastAsia="仿宋_GB231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成本指标</w:t>
            </w:r>
          </w:p>
        </w:tc>
        <w:tc>
          <w:tcPr>
            <w:tcW w:w="673" w:type="pct"/>
            <w:vAlign w:val="center"/>
          </w:tcPr>
          <w:p>
            <w:pPr>
              <w:pStyle w:val="14"/>
              <w:rPr>
                <w:rFonts w:ascii="Times New Roman" w:hAnsi="Times New Roman" w:eastAsia="仿宋_GB2312"/>
              </w:rPr>
            </w:pPr>
            <w:r>
              <w:rPr>
                <w:rFonts w:ascii="Times New Roman" w:hAnsi="Times New Roman" w:eastAsia="仿宋_GB2312"/>
              </w:rPr>
              <w:t>核酸检测实验室配建设施成本</w:t>
            </w:r>
          </w:p>
        </w:tc>
        <w:tc>
          <w:tcPr>
            <w:tcW w:w="1461" w:type="pct"/>
            <w:vAlign w:val="center"/>
          </w:tcPr>
          <w:p>
            <w:pPr>
              <w:pStyle w:val="14"/>
              <w:rPr>
                <w:rFonts w:ascii="Times New Roman" w:hAnsi="Times New Roman" w:eastAsia="仿宋_GB2312"/>
              </w:rPr>
            </w:pPr>
            <w:r>
              <w:rPr>
                <w:rFonts w:ascii="Times New Roman" w:hAnsi="Times New Roman" w:eastAsia="仿宋_GB2312"/>
              </w:rPr>
              <w:t>核酸检测实验室配建设施成本</w:t>
            </w:r>
          </w:p>
        </w:tc>
        <w:tc>
          <w:tcPr>
            <w:tcW w:w="644" w:type="pct"/>
            <w:vAlign w:val="center"/>
          </w:tcPr>
          <w:p>
            <w:pPr>
              <w:pStyle w:val="14"/>
              <w:rPr>
                <w:rFonts w:ascii="Times New Roman" w:hAnsi="Times New Roman" w:eastAsia="仿宋_GB2312"/>
              </w:rPr>
            </w:pPr>
            <w:r>
              <w:rPr>
                <w:rFonts w:ascii="Times New Roman" w:hAnsi="Times New Roman" w:eastAsia="仿宋_GB2312"/>
              </w:rPr>
              <w:t>526.5万元</w:t>
            </w:r>
          </w:p>
        </w:tc>
        <w:tc>
          <w:tcPr>
            <w:tcW w:w="931" w:type="pct"/>
            <w:vAlign w:val="center"/>
          </w:tcPr>
          <w:p>
            <w:pPr>
              <w:pStyle w:val="14"/>
              <w:rPr>
                <w:rFonts w:ascii="Times New Roman" w:hAnsi="Times New Roman" w:eastAsia="仿宋_GB2312"/>
              </w:rPr>
            </w:pPr>
            <w:r>
              <w:rPr>
                <w:rFonts w:ascii="Times New Roman" w:hAnsi="Times New Roman" w:eastAsia="仿宋_GB2312"/>
              </w:rPr>
              <w:t>成本核算明细表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644" w:type="pct"/>
            <w:vMerge w:val="restart"/>
            <w:vAlign w:val="center"/>
          </w:tcPr>
          <w:p>
            <w:pPr>
              <w:pStyle w:val="15"/>
              <w:rPr>
                <w:rFonts w:ascii="Times New Roman" w:hAnsi="Times New Roman" w:eastAsia="仿宋_GB2312"/>
              </w:rPr>
            </w:pPr>
            <w:r>
              <w:rPr>
                <w:rFonts w:ascii="Times New Roman" w:hAnsi="Times New Roman" w:eastAsia="仿宋_GB2312"/>
              </w:rPr>
              <w:t>效益指标</w:t>
            </w:r>
          </w:p>
        </w:tc>
        <w:tc>
          <w:tcPr>
            <w:tcW w:w="644" w:type="pct"/>
            <w:vAlign w:val="center"/>
          </w:tcPr>
          <w:p>
            <w:pPr>
              <w:pStyle w:val="14"/>
              <w:rPr>
                <w:rFonts w:ascii="Times New Roman" w:hAnsi="Times New Roman" w:eastAsia="仿宋_GB2312"/>
              </w:rPr>
            </w:pPr>
            <w:r>
              <w:rPr>
                <w:rFonts w:ascii="Times New Roman" w:hAnsi="Times New Roman" w:eastAsia="仿宋_GB2312"/>
              </w:rPr>
              <w:t>社会效益指标</w:t>
            </w:r>
          </w:p>
        </w:tc>
        <w:tc>
          <w:tcPr>
            <w:tcW w:w="673" w:type="pct"/>
            <w:vAlign w:val="center"/>
          </w:tcPr>
          <w:p>
            <w:pPr>
              <w:pStyle w:val="14"/>
              <w:rPr>
                <w:rFonts w:ascii="Times New Roman" w:hAnsi="Times New Roman" w:eastAsia="仿宋_GB2312"/>
              </w:rPr>
            </w:pPr>
            <w:r>
              <w:rPr>
                <w:rFonts w:ascii="Times New Roman" w:hAnsi="Times New Roman" w:eastAsia="仿宋_GB2312"/>
              </w:rPr>
              <w:t>保障广阳区疫情防控成果</w:t>
            </w:r>
          </w:p>
        </w:tc>
        <w:tc>
          <w:tcPr>
            <w:tcW w:w="1461" w:type="pct"/>
            <w:vAlign w:val="center"/>
          </w:tcPr>
          <w:p>
            <w:pPr>
              <w:pStyle w:val="14"/>
              <w:rPr>
                <w:rFonts w:ascii="Times New Roman" w:hAnsi="Times New Roman" w:eastAsia="仿宋_GB2312"/>
              </w:rPr>
            </w:pPr>
            <w:r>
              <w:rPr>
                <w:rFonts w:ascii="Times New Roman" w:hAnsi="Times New Roman" w:eastAsia="仿宋_GB2312"/>
              </w:rPr>
              <w:t>保障广阳区疫情防控成效</w:t>
            </w:r>
          </w:p>
        </w:tc>
        <w:tc>
          <w:tcPr>
            <w:tcW w:w="644" w:type="pct"/>
            <w:vAlign w:val="center"/>
          </w:tcPr>
          <w:p>
            <w:pPr>
              <w:pStyle w:val="14"/>
              <w:rPr>
                <w:rFonts w:ascii="Times New Roman" w:hAnsi="Times New Roman" w:eastAsia="仿宋_GB2312"/>
              </w:rPr>
            </w:pPr>
            <w:r>
              <w:rPr>
                <w:rFonts w:ascii="Times New Roman" w:hAnsi="Times New Roman" w:eastAsia="仿宋_GB2312"/>
              </w:rPr>
              <w:t>成本核算</w:t>
            </w:r>
          </w:p>
        </w:tc>
        <w:tc>
          <w:tcPr>
            <w:tcW w:w="931" w:type="pct"/>
            <w:vAlign w:val="center"/>
          </w:tcPr>
          <w:p>
            <w:pPr>
              <w:pStyle w:val="14"/>
              <w:rPr>
                <w:rFonts w:ascii="Times New Roman" w:hAnsi="Times New Roman" w:eastAsia="仿宋_GB2312"/>
              </w:rPr>
            </w:pPr>
            <w:r>
              <w:rPr>
                <w:rFonts w:ascii="Times New Roman" w:hAnsi="Times New Roman" w:eastAsia="仿宋_GB231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644" w:type="pct"/>
            <w:vMerge w:val="continue"/>
            <w:vAlign w:val="center"/>
          </w:tcPr>
          <w:p>
            <w:pPr>
              <w:rPr>
                <w:rFonts w:ascii="Times New Roman" w:hAnsi="Times New Roman" w:eastAsia="仿宋_GB2312"/>
              </w:rPr>
            </w:pPr>
          </w:p>
        </w:tc>
        <w:tc>
          <w:tcPr>
            <w:tcW w:w="644" w:type="pct"/>
            <w:vAlign w:val="center"/>
          </w:tcPr>
          <w:p>
            <w:pPr>
              <w:pStyle w:val="14"/>
              <w:rPr>
                <w:rFonts w:ascii="Times New Roman" w:hAnsi="Times New Roman" w:eastAsia="仿宋_GB2312"/>
              </w:rPr>
            </w:pPr>
            <w:r>
              <w:rPr>
                <w:rFonts w:ascii="Times New Roman" w:hAnsi="Times New Roman" w:eastAsia="仿宋_GB2312"/>
              </w:rPr>
              <w:t>可持续影响指标</w:t>
            </w:r>
          </w:p>
        </w:tc>
        <w:tc>
          <w:tcPr>
            <w:tcW w:w="673" w:type="pct"/>
            <w:vAlign w:val="center"/>
          </w:tcPr>
          <w:p>
            <w:pPr>
              <w:pStyle w:val="14"/>
              <w:rPr>
                <w:rFonts w:ascii="Times New Roman" w:hAnsi="Times New Roman" w:eastAsia="仿宋_GB2312"/>
              </w:rPr>
            </w:pPr>
            <w:r>
              <w:rPr>
                <w:rFonts w:ascii="Times New Roman" w:hAnsi="Times New Roman" w:eastAsia="仿宋_GB2312"/>
              </w:rPr>
              <w:t>可持续性服务</w:t>
            </w:r>
          </w:p>
        </w:tc>
        <w:tc>
          <w:tcPr>
            <w:tcW w:w="1461" w:type="pct"/>
            <w:vAlign w:val="center"/>
          </w:tcPr>
          <w:p>
            <w:pPr>
              <w:pStyle w:val="14"/>
              <w:rPr>
                <w:rFonts w:ascii="Times New Roman" w:hAnsi="Times New Roman" w:eastAsia="仿宋_GB2312"/>
              </w:rPr>
            </w:pPr>
            <w:r>
              <w:rPr>
                <w:rFonts w:ascii="Times New Roman" w:hAnsi="Times New Roman" w:eastAsia="仿宋_GB2312"/>
              </w:rPr>
              <w:t>可持续性疫情防控服务</w:t>
            </w:r>
          </w:p>
        </w:tc>
        <w:tc>
          <w:tcPr>
            <w:tcW w:w="644" w:type="pct"/>
            <w:vAlign w:val="center"/>
          </w:tcPr>
          <w:p>
            <w:pPr>
              <w:pStyle w:val="14"/>
              <w:rPr>
                <w:rFonts w:ascii="Times New Roman" w:hAnsi="Times New Roman" w:eastAsia="仿宋_GB2312"/>
              </w:rPr>
            </w:pPr>
            <w:r>
              <w:rPr>
                <w:rFonts w:ascii="Times New Roman" w:hAnsi="Times New Roman" w:eastAsia="仿宋_GB2312"/>
              </w:rPr>
              <w:t>可持续性</w:t>
            </w:r>
          </w:p>
        </w:tc>
        <w:tc>
          <w:tcPr>
            <w:tcW w:w="931" w:type="pct"/>
            <w:vAlign w:val="center"/>
          </w:tcPr>
          <w:p>
            <w:pPr>
              <w:pStyle w:val="14"/>
              <w:rPr>
                <w:rFonts w:ascii="Times New Roman" w:hAnsi="Times New Roman" w:eastAsia="仿宋_GB2312"/>
              </w:rPr>
            </w:pPr>
            <w:r>
              <w:rPr>
                <w:rFonts w:ascii="Times New Roman" w:hAnsi="Times New Roman" w:eastAsia="仿宋_GB231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644" w:type="pct"/>
            <w:vAlign w:val="center"/>
          </w:tcPr>
          <w:p>
            <w:pPr>
              <w:pStyle w:val="15"/>
              <w:rPr>
                <w:rFonts w:ascii="Times New Roman" w:hAnsi="Times New Roman" w:eastAsia="仿宋_GB2312"/>
              </w:rPr>
            </w:pPr>
            <w:r>
              <w:rPr>
                <w:rFonts w:ascii="Times New Roman" w:hAnsi="Times New Roman" w:eastAsia="仿宋_GB2312"/>
              </w:rPr>
              <w:t>满意度指标</w:t>
            </w:r>
          </w:p>
        </w:tc>
        <w:tc>
          <w:tcPr>
            <w:tcW w:w="644" w:type="pct"/>
            <w:vAlign w:val="center"/>
          </w:tcPr>
          <w:p>
            <w:pPr>
              <w:pStyle w:val="14"/>
              <w:rPr>
                <w:rFonts w:ascii="Times New Roman" w:hAnsi="Times New Roman" w:eastAsia="仿宋_GB2312"/>
              </w:rPr>
            </w:pPr>
            <w:r>
              <w:rPr>
                <w:rFonts w:ascii="Times New Roman" w:hAnsi="Times New Roman" w:eastAsia="仿宋_GB2312"/>
              </w:rPr>
              <w:t>服务对象满意度指标</w:t>
            </w:r>
          </w:p>
        </w:tc>
        <w:tc>
          <w:tcPr>
            <w:tcW w:w="673" w:type="pct"/>
            <w:vAlign w:val="center"/>
          </w:tcPr>
          <w:p>
            <w:pPr>
              <w:pStyle w:val="14"/>
              <w:rPr>
                <w:rFonts w:ascii="Times New Roman" w:hAnsi="Times New Roman" w:eastAsia="仿宋_GB2312"/>
              </w:rPr>
            </w:pPr>
            <w:r>
              <w:rPr>
                <w:rFonts w:ascii="Times New Roman" w:hAnsi="Times New Roman" w:eastAsia="仿宋_GB2312"/>
              </w:rPr>
              <w:t>服务对象满意度</w:t>
            </w:r>
          </w:p>
        </w:tc>
        <w:tc>
          <w:tcPr>
            <w:tcW w:w="1461" w:type="pct"/>
            <w:vAlign w:val="center"/>
          </w:tcPr>
          <w:p>
            <w:pPr>
              <w:pStyle w:val="14"/>
              <w:rPr>
                <w:rFonts w:ascii="Times New Roman" w:hAnsi="Times New Roman" w:eastAsia="仿宋_GB2312"/>
              </w:rPr>
            </w:pPr>
            <w:r>
              <w:rPr>
                <w:rFonts w:ascii="Times New Roman" w:hAnsi="Times New Roman" w:eastAsia="仿宋_GB2312"/>
              </w:rPr>
              <w:t>满意人数/总人数</w:t>
            </w:r>
          </w:p>
        </w:tc>
        <w:tc>
          <w:tcPr>
            <w:tcW w:w="644" w:type="pct"/>
            <w:vAlign w:val="center"/>
          </w:tcPr>
          <w:p>
            <w:pPr>
              <w:pStyle w:val="14"/>
              <w:rPr>
                <w:rFonts w:ascii="Times New Roman" w:hAnsi="Times New Roman" w:eastAsia="仿宋_GB2312"/>
              </w:rPr>
            </w:pPr>
            <w:r>
              <w:rPr>
                <w:rFonts w:ascii="Times New Roman" w:hAnsi="Times New Roman" w:eastAsia="仿宋_GB2312"/>
              </w:rPr>
              <w:t>≥90%</w:t>
            </w:r>
          </w:p>
        </w:tc>
        <w:tc>
          <w:tcPr>
            <w:tcW w:w="931" w:type="pct"/>
            <w:vAlign w:val="center"/>
          </w:tcPr>
          <w:p>
            <w:pPr>
              <w:pStyle w:val="14"/>
              <w:rPr>
                <w:rFonts w:ascii="Times New Roman" w:hAnsi="Times New Roman" w:eastAsia="仿宋_GB2312"/>
              </w:rPr>
            </w:pPr>
            <w:r>
              <w:rPr>
                <w:rFonts w:ascii="Times New Roman" w:hAnsi="Times New Roman" w:eastAsia="仿宋_GB2312"/>
              </w:rPr>
              <w:t>满意度调查表</w:t>
            </w:r>
          </w:p>
        </w:tc>
      </w:tr>
    </w:tbl>
    <w:p>
      <w:pPr>
        <w:rPr>
          <w:rFonts w:ascii="Times New Roman" w:hAnsi="Times New Roman" w:eastAsia="仿宋_GB2312"/>
        </w:rPr>
        <w:sectPr>
          <w:pgSz w:w="16840" w:h="11900" w:orient="landscape"/>
          <w:pgMar w:top="1304" w:right="1984" w:bottom="1304" w:left="1134" w:header="720" w:footer="720" w:gutter="0"/>
          <w:cols w:space="720" w:num="1"/>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478.5</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outlineLvl w:val="1"/>
        <w:rPr>
          <w:rFonts w:ascii="方正小标宋_GBK" w:eastAsia="方正小标宋_GBK" w:cs="Times New Roman"/>
          <w:sz w:val="32"/>
        </w:rPr>
      </w:pPr>
      <w:r>
        <w:t>廊坊市</w:t>
      </w:r>
      <w:r>
        <w:rPr>
          <w:rFonts w:hint="eastAsia"/>
        </w:rPr>
        <w:t>广阳区人民医院</w:t>
      </w:r>
      <w:r>
        <w:t xml:space="preserve">                                                                                              </w:t>
      </w:r>
      <w:r>
        <w:rPr>
          <w:rFonts w:hint="eastAsia"/>
        </w:rPr>
        <w:t xml:space="preserve">  </w:t>
      </w:r>
      <w:r>
        <w:t xml:space="preserve">  单位：万元</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043"/>
        <w:gridCol w:w="1156"/>
        <w:gridCol w:w="762"/>
        <w:gridCol w:w="600"/>
        <w:gridCol w:w="533"/>
        <w:gridCol w:w="779"/>
        <w:gridCol w:w="884"/>
        <w:gridCol w:w="884"/>
        <w:gridCol w:w="884"/>
        <w:gridCol w:w="884"/>
        <w:gridCol w:w="884"/>
        <w:gridCol w:w="884"/>
        <w:gridCol w:w="884"/>
        <w:gridCol w:w="916"/>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7"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pPr>
            <w:r>
              <w:t>政府采购项目来源</w:t>
            </w:r>
          </w:p>
        </w:tc>
        <w:tc>
          <w:tcPr>
            <w:tcW w:w="408"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pPr>
            <w:r>
              <w:t>采购物品名称</w:t>
            </w:r>
          </w:p>
        </w:tc>
        <w:tc>
          <w:tcPr>
            <w:tcW w:w="269"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pPr>
            <w:r>
              <w:t>政府采购目录序号</w:t>
            </w:r>
          </w:p>
        </w:tc>
        <w:tc>
          <w:tcPr>
            <w:tcW w:w="211"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pPr>
            <w:r>
              <w:t>计量单位</w:t>
            </w:r>
          </w:p>
        </w:tc>
        <w:tc>
          <w:tcPr>
            <w:tcW w:w="188"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pPr>
            <w:r>
              <w:t>单价</w:t>
            </w:r>
          </w:p>
        </w:tc>
        <w:tc>
          <w:tcPr>
            <w:tcW w:w="2507" w:type="pct"/>
            <w:gridSpan w:val="8"/>
            <w:vAlign w:val="center"/>
          </w:tcPr>
          <w:p>
            <w:pPr>
              <w:pStyle w:val="12"/>
              <w:keepNext w:val="0"/>
              <w:keepLines w:val="0"/>
              <w:pageBreakBefore w:val="0"/>
              <w:kinsoku/>
              <w:wordWrap/>
              <w:overflowPunct/>
              <w:topLinePunct w:val="0"/>
              <w:autoSpaceDE/>
              <w:autoSpaceDN/>
              <w:bidi w:val="0"/>
              <w:adjustRightInd/>
              <w:snapToGrid/>
              <w:spacing w:line="400" w:lineRule="exact"/>
            </w:pPr>
            <w:r>
              <w:t>政府采购金额（当年</w:t>
            </w:r>
            <w:r>
              <w:rPr>
                <w:rFonts w:hint="eastAsia"/>
                <w:lang w:eastAsia="zh-CN"/>
              </w:rPr>
              <w:t>单位</w:t>
            </w:r>
            <w:r>
              <w:t>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59" w:type="pct"/>
            <w:vAlign w:val="center"/>
          </w:tcPr>
          <w:p>
            <w:pPr>
              <w:pStyle w:val="12"/>
              <w:keepNext w:val="0"/>
              <w:keepLines w:val="0"/>
              <w:pageBreakBefore w:val="0"/>
              <w:kinsoku/>
              <w:wordWrap/>
              <w:overflowPunct/>
              <w:topLinePunct w:val="0"/>
              <w:autoSpaceDE/>
              <w:autoSpaceDN/>
              <w:bidi w:val="0"/>
              <w:adjustRightInd/>
              <w:snapToGrid/>
              <w:spacing w:line="400" w:lineRule="exact"/>
            </w:pPr>
            <w:r>
              <w:t>项目名称</w:t>
            </w:r>
          </w:p>
        </w:tc>
        <w:tc>
          <w:tcPr>
            <w:tcW w:w="368" w:type="pct"/>
            <w:vAlign w:val="center"/>
          </w:tcPr>
          <w:p>
            <w:pPr>
              <w:pStyle w:val="12"/>
              <w:keepNext w:val="0"/>
              <w:keepLines w:val="0"/>
              <w:pageBreakBefore w:val="0"/>
              <w:kinsoku/>
              <w:wordWrap/>
              <w:overflowPunct/>
              <w:topLinePunct w:val="0"/>
              <w:autoSpaceDE/>
              <w:autoSpaceDN/>
              <w:bidi w:val="0"/>
              <w:adjustRightInd/>
              <w:snapToGrid/>
              <w:spacing w:line="400" w:lineRule="exact"/>
            </w:pPr>
            <w:r>
              <w:t>预算    资金</w:t>
            </w:r>
          </w:p>
        </w:tc>
        <w:tc>
          <w:tcPr>
            <w:tcW w:w="408" w:type="pct"/>
            <w:vMerge w:val="continue"/>
          </w:tcPr>
          <w:p>
            <w:pPr>
              <w:keepNext w:val="0"/>
              <w:keepLines w:val="0"/>
              <w:pageBreakBefore w:val="0"/>
              <w:kinsoku/>
              <w:wordWrap/>
              <w:overflowPunct/>
              <w:topLinePunct w:val="0"/>
              <w:autoSpaceDE/>
              <w:autoSpaceDN/>
              <w:bidi w:val="0"/>
              <w:adjustRightInd/>
              <w:snapToGrid/>
              <w:spacing w:line="400" w:lineRule="exact"/>
            </w:pPr>
          </w:p>
        </w:tc>
        <w:tc>
          <w:tcPr>
            <w:tcW w:w="269" w:type="pct"/>
            <w:vMerge w:val="continue"/>
          </w:tcPr>
          <w:p>
            <w:pPr>
              <w:keepNext w:val="0"/>
              <w:keepLines w:val="0"/>
              <w:pageBreakBefore w:val="0"/>
              <w:kinsoku/>
              <w:wordWrap/>
              <w:overflowPunct/>
              <w:topLinePunct w:val="0"/>
              <w:autoSpaceDE/>
              <w:autoSpaceDN/>
              <w:bidi w:val="0"/>
              <w:adjustRightInd/>
              <w:snapToGrid/>
              <w:spacing w:line="400" w:lineRule="exact"/>
            </w:pPr>
          </w:p>
        </w:tc>
        <w:tc>
          <w:tcPr>
            <w:tcW w:w="211" w:type="pct"/>
            <w:vMerge w:val="continue"/>
          </w:tcPr>
          <w:p>
            <w:pPr>
              <w:keepNext w:val="0"/>
              <w:keepLines w:val="0"/>
              <w:pageBreakBefore w:val="0"/>
              <w:kinsoku/>
              <w:wordWrap/>
              <w:overflowPunct/>
              <w:topLinePunct w:val="0"/>
              <w:autoSpaceDE/>
              <w:autoSpaceDN/>
              <w:bidi w:val="0"/>
              <w:adjustRightInd/>
              <w:snapToGrid/>
              <w:spacing w:line="400" w:lineRule="exact"/>
            </w:pPr>
          </w:p>
        </w:tc>
        <w:tc>
          <w:tcPr>
            <w:tcW w:w="188" w:type="pct"/>
            <w:vMerge w:val="continue"/>
          </w:tcPr>
          <w:p>
            <w:pPr>
              <w:keepNext w:val="0"/>
              <w:keepLines w:val="0"/>
              <w:pageBreakBefore w:val="0"/>
              <w:kinsoku/>
              <w:wordWrap/>
              <w:overflowPunct/>
              <w:topLinePunct w:val="0"/>
              <w:autoSpaceDE/>
              <w:autoSpaceDN/>
              <w:bidi w:val="0"/>
              <w:adjustRightInd/>
              <w:snapToGrid/>
              <w:spacing w:line="400" w:lineRule="exact"/>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pPr>
            <w:r>
              <w:t>财政拨    款结转</w:t>
            </w:r>
          </w:p>
        </w:tc>
        <w:tc>
          <w:tcPr>
            <w:tcW w:w="323" w:type="pct"/>
            <w:vAlign w:val="center"/>
          </w:tcPr>
          <w:p>
            <w:pPr>
              <w:pStyle w:val="12"/>
              <w:keepNext w:val="0"/>
              <w:keepLines w:val="0"/>
              <w:pageBreakBefore w:val="0"/>
              <w:kinsoku/>
              <w:wordWrap/>
              <w:overflowPunct/>
              <w:topLinePunct w:val="0"/>
              <w:autoSpaceDE/>
              <w:autoSpaceDN/>
              <w:bidi w:val="0"/>
              <w:adjustRightInd/>
              <w:snapToGrid/>
              <w:spacing w:line="400" w:lineRule="exact"/>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9" w:type="pct"/>
            <w:vAlign w:val="center"/>
          </w:tcPr>
          <w:p>
            <w:pPr>
              <w:pStyle w:val="16"/>
              <w:keepNext w:val="0"/>
              <w:keepLines w:val="0"/>
              <w:pageBreakBefore w:val="0"/>
              <w:kinsoku/>
              <w:wordWrap/>
              <w:overflowPunct/>
              <w:topLinePunct w:val="0"/>
              <w:autoSpaceDE/>
              <w:autoSpaceDN/>
              <w:bidi w:val="0"/>
              <w:adjustRightInd/>
              <w:snapToGrid/>
              <w:spacing w:line="400" w:lineRule="exact"/>
            </w:pPr>
            <w:r>
              <w:t>合  计</w:t>
            </w:r>
          </w:p>
        </w:tc>
        <w:tc>
          <w:tcPr>
            <w:tcW w:w="368"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478.5</w:t>
            </w:r>
          </w:p>
        </w:tc>
        <w:tc>
          <w:tcPr>
            <w:tcW w:w="408" w:type="pct"/>
            <w:vAlign w:val="center"/>
          </w:tcPr>
          <w:p>
            <w:pPr>
              <w:pStyle w:val="18"/>
              <w:keepNext w:val="0"/>
              <w:keepLines w:val="0"/>
              <w:pageBreakBefore w:val="0"/>
              <w:kinsoku/>
              <w:wordWrap/>
              <w:overflowPunct/>
              <w:topLinePunct w:val="0"/>
              <w:autoSpaceDE/>
              <w:autoSpaceDN/>
              <w:bidi w:val="0"/>
              <w:adjustRightInd/>
              <w:snapToGrid/>
              <w:spacing w:line="400" w:lineRule="exact"/>
            </w:pPr>
          </w:p>
        </w:tc>
        <w:tc>
          <w:tcPr>
            <w:tcW w:w="269" w:type="pct"/>
            <w:vAlign w:val="center"/>
          </w:tcPr>
          <w:p>
            <w:pPr>
              <w:pStyle w:val="18"/>
              <w:keepNext w:val="0"/>
              <w:keepLines w:val="0"/>
              <w:pageBreakBefore w:val="0"/>
              <w:kinsoku/>
              <w:wordWrap/>
              <w:overflowPunct/>
              <w:topLinePunct w:val="0"/>
              <w:autoSpaceDE/>
              <w:autoSpaceDN/>
              <w:bidi w:val="0"/>
              <w:adjustRightInd/>
              <w:snapToGrid/>
              <w:spacing w:line="400" w:lineRule="exact"/>
            </w:pPr>
          </w:p>
        </w:tc>
        <w:tc>
          <w:tcPr>
            <w:tcW w:w="211" w:type="pct"/>
            <w:vAlign w:val="center"/>
          </w:tcPr>
          <w:p>
            <w:pPr>
              <w:pStyle w:val="16"/>
              <w:keepNext w:val="0"/>
              <w:keepLines w:val="0"/>
              <w:pageBreakBefore w:val="0"/>
              <w:kinsoku/>
              <w:wordWrap/>
              <w:overflowPunct/>
              <w:topLinePunct w:val="0"/>
              <w:autoSpaceDE/>
              <w:autoSpaceDN/>
              <w:bidi w:val="0"/>
              <w:adjustRightInd/>
              <w:snapToGrid/>
              <w:spacing w:line="400" w:lineRule="exact"/>
            </w:pPr>
          </w:p>
        </w:tc>
        <w:tc>
          <w:tcPr>
            <w:tcW w:w="188"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23"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8" w:hRule="atLeast"/>
          <w:jc w:val="center"/>
        </w:trPr>
        <w:tc>
          <w:tcPr>
            <w:tcW w:w="459" w:type="pct"/>
            <w:vAlign w:val="center"/>
          </w:tcPr>
          <w:p>
            <w:pPr>
              <w:pStyle w:val="14"/>
              <w:keepNext w:val="0"/>
              <w:keepLines w:val="0"/>
              <w:pageBreakBefore w:val="0"/>
              <w:kinsoku/>
              <w:wordWrap/>
              <w:overflowPunct/>
              <w:topLinePunct w:val="0"/>
              <w:autoSpaceDE/>
              <w:autoSpaceDN/>
              <w:bidi w:val="0"/>
              <w:adjustRightInd/>
              <w:snapToGrid/>
              <w:spacing w:line="400" w:lineRule="exact"/>
              <w:rPr>
                <w:rFonts w:ascii="仿宋_GB2312" w:hAnsi="仿宋_GB2312" w:eastAsia="仿宋_GB2312" w:cs="仿宋_GB2312"/>
                <w:color w:val="000000"/>
                <w:szCs w:val="21"/>
                <w:lang w:eastAsia="zh-CN" w:bidi="ar"/>
              </w:rPr>
            </w:pPr>
            <w:r>
              <w:rPr>
                <w:rFonts w:hint="eastAsia" w:ascii="仿宋_GB2312" w:hAnsi="仿宋_GB2312" w:eastAsia="仿宋_GB2312" w:cs="仿宋_GB2312"/>
                <w:color w:val="000000"/>
                <w:szCs w:val="21"/>
                <w:lang w:eastAsia="zh-CN" w:bidi="ar"/>
              </w:rPr>
              <w:t>核酸检测实验室配建设施经费</w:t>
            </w:r>
          </w:p>
        </w:tc>
        <w:tc>
          <w:tcPr>
            <w:tcW w:w="368"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110</w:t>
            </w:r>
          </w:p>
        </w:tc>
        <w:tc>
          <w:tcPr>
            <w:tcW w:w="4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书宋_GBK" w:hAnsi="方正书宋_GBK" w:eastAsia="方正书宋_GBK" w:cs="方正书宋_GBK"/>
                <w:b/>
                <w:kern w:val="0"/>
                <w:szCs w:val="24"/>
                <w:highlight w:val="yellow"/>
              </w:rPr>
            </w:pPr>
            <w:r>
              <w:rPr>
                <w:rFonts w:hint="eastAsia" w:ascii="方正书宋_GBK" w:hAnsi="方正书宋_GBK" w:eastAsia="方正书宋_GBK" w:cs="方正书宋_GBK"/>
                <w:b/>
                <w:kern w:val="0"/>
                <w:szCs w:val="24"/>
              </w:rPr>
              <w:t>污水处理设备</w:t>
            </w:r>
          </w:p>
        </w:tc>
        <w:tc>
          <w:tcPr>
            <w:tcW w:w="269" w:type="pct"/>
            <w:vAlign w:val="center"/>
          </w:tcPr>
          <w:p>
            <w:pPr>
              <w:pStyle w:val="14"/>
              <w:keepNext w:val="0"/>
              <w:keepLines w:val="0"/>
              <w:pageBreakBefore w:val="0"/>
              <w:kinsoku/>
              <w:wordWrap/>
              <w:overflowPunct/>
              <w:topLinePunct w:val="0"/>
              <w:autoSpaceDE/>
              <w:autoSpaceDN/>
              <w:bidi w:val="0"/>
              <w:adjustRightInd/>
              <w:snapToGrid/>
              <w:spacing w:line="400" w:lineRule="exact"/>
              <w:jc w:val="center"/>
              <w:rPr>
                <w:b/>
                <w:highlight w:val="yellow"/>
                <w:lang w:eastAsia="zh-CN"/>
              </w:rPr>
            </w:pPr>
          </w:p>
        </w:tc>
        <w:tc>
          <w:tcPr>
            <w:tcW w:w="211" w:type="pct"/>
            <w:vAlign w:val="center"/>
          </w:tcPr>
          <w:p>
            <w:pPr>
              <w:pStyle w:val="16"/>
              <w:keepNext w:val="0"/>
              <w:keepLines w:val="0"/>
              <w:pageBreakBefore w:val="0"/>
              <w:kinsoku/>
              <w:wordWrap/>
              <w:overflowPunct/>
              <w:topLinePunct w:val="0"/>
              <w:autoSpaceDE/>
              <w:autoSpaceDN/>
              <w:bidi w:val="0"/>
              <w:adjustRightInd/>
              <w:snapToGrid/>
              <w:spacing w:line="400" w:lineRule="exact"/>
              <w:rPr>
                <w:lang w:eastAsia="zh-CN"/>
              </w:rPr>
            </w:pPr>
            <w:r>
              <w:rPr>
                <w:rFonts w:hint="eastAsia"/>
                <w:lang w:eastAsia="zh-CN"/>
              </w:rPr>
              <w:t>次</w:t>
            </w:r>
          </w:p>
        </w:tc>
        <w:tc>
          <w:tcPr>
            <w:tcW w:w="188"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1</w:t>
            </w: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110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110</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110</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23"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4"/>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9" w:type="pct"/>
            <w:vAlign w:val="center"/>
          </w:tcPr>
          <w:p>
            <w:pPr>
              <w:keepNext w:val="0"/>
              <w:keepLines w:val="0"/>
              <w:pageBreakBefore w:val="0"/>
              <w:kinsoku/>
              <w:wordWrap/>
              <w:overflowPunct/>
              <w:topLinePunct w:val="0"/>
              <w:autoSpaceDE/>
              <w:autoSpaceDN/>
              <w:bidi w:val="0"/>
              <w:adjustRightInd/>
              <w:snapToGrid/>
              <w:spacing w:line="400" w:lineRule="exac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核酸检测实验室配建设施经费</w:t>
            </w:r>
          </w:p>
        </w:tc>
        <w:tc>
          <w:tcPr>
            <w:tcW w:w="368"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290</w:t>
            </w:r>
          </w:p>
        </w:tc>
        <w:tc>
          <w:tcPr>
            <w:tcW w:w="4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书宋_GBK" w:hAnsi="方正书宋_GBK" w:eastAsia="方正书宋_GBK" w:cs="方正书宋_GBK"/>
                <w:b/>
                <w:kern w:val="0"/>
                <w:szCs w:val="24"/>
                <w:highlight w:val="yellow"/>
              </w:rPr>
            </w:pPr>
            <w:r>
              <w:rPr>
                <w:rFonts w:hint="eastAsia" w:ascii="方正书宋_GBK" w:hAnsi="方正书宋_GBK" w:eastAsia="方正书宋_GBK" w:cs="方正书宋_GBK"/>
                <w:b/>
                <w:kern w:val="0"/>
                <w:szCs w:val="24"/>
              </w:rPr>
              <w:t>信息化建设及等级保护</w:t>
            </w:r>
          </w:p>
        </w:tc>
        <w:tc>
          <w:tcPr>
            <w:tcW w:w="269" w:type="pct"/>
            <w:vAlign w:val="center"/>
          </w:tcPr>
          <w:p>
            <w:pPr>
              <w:pStyle w:val="14"/>
              <w:keepNext w:val="0"/>
              <w:keepLines w:val="0"/>
              <w:pageBreakBefore w:val="0"/>
              <w:kinsoku/>
              <w:wordWrap/>
              <w:overflowPunct/>
              <w:topLinePunct w:val="0"/>
              <w:autoSpaceDE/>
              <w:autoSpaceDN/>
              <w:bidi w:val="0"/>
              <w:adjustRightInd/>
              <w:snapToGrid/>
              <w:spacing w:line="400" w:lineRule="exact"/>
              <w:jc w:val="center"/>
              <w:rPr>
                <w:b/>
                <w:lang w:eastAsia="zh-CN"/>
              </w:rPr>
            </w:pPr>
          </w:p>
        </w:tc>
        <w:tc>
          <w:tcPr>
            <w:tcW w:w="211" w:type="pct"/>
            <w:vAlign w:val="center"/>
          </w:tcPr>
          <w:p>
            <w:pPr>
              <w:pStyle w:val="16"/>
              <w:keepNext w:val="0"/>
              <w:keepLines w:val="0"/>
              <w:pageBreakBefore w:val="0"/>
              <w:kinsoku/>
              <w:wordWrap/>
              <w:overflowPunct/>
              <w:topLinePunct w:val="0"/>
              <w:autoSpaceDE/>
              <w:autoSpaceDN/>
              <w:bidi w:val="0"/>
              <w:adjustRightInd/>
              <w:snapToGrid/>
              <w:spacing w:line="400" w:lineRule="exact"/>
              <w:rPr>
                <w:lang w:eastAsia="zh-CN"/>
              </w:rPr>
            </w:pPr>
            <w:r>
              <w:rPr>
                <w:rFonts w:hint="eastAsia"/>
                <w:lang w:eastAsia="zh-CN"/>
              </w:rPr>
              <w:t>次</w:t>
            </w:r>
          </w:p>
        </w:tc>
        <w:tc>
          <w:tcPr>
            <w:tcW w:w="188"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1</w:t>
            </w: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290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290</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290</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23"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4"/>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9" w:type="pct"/>
            <w:vAlign w:val="center"/>
          </w:tcPr>
          <w:p>
            <w:pPr>
              <w:keepNext w:val="0"/>
              <w:keepLines w:val="0"/>
              <w:pageBreakBefore w:val="0"/>
              <w:kinsoku/>
              <w:wordWrap/>
              <w:overflowPunct/>
              <w:topLinePunct w:val="0"/>
              <w:autoSpaceDE/>
              <w:autoSpaceDN/>
              <w:bidi w:val="0"/>
              <w:adjustRightInd/>
              <w:snapToGrid/>
              <w:spacing w:line="400" w:lineRule="exac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核酸检测实验室配建设施经费</w:t>
            </w:r>
          </w:p>
        </w:tc>
        <w:tc>
          <w:tcPr>
            <w:tcW w:w="368"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78.5</w:t>
            </w:r>
          </w:p>
        </w:tc>
        <w:tc>
          <w:tcPr>
            <w:tcW w:w="4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书宋_GBK" w:hAnsi="方正书宋_GBK" w:eastAsia="方正书宋_GBK" w:cs="方正书宋_GBK"/>
                <w:b/>
                <w:kern w:val="0"/>
                <w:szCs w:val="24"/>
                <w:highlight w:val="yellow"/>
              </w:rPr>
            </w:pPr>
            <w:r>
              <w:rPr>
                <w:rFonts w:hint="eastAsia" w:ascii="方正书宋_GBK" w:hAnsi="方正书宋_GBK" w:eastAsia="方正书宋_GBK" w:cs="方正书宋_GBK"/>
                <w:b/>
                <w:kern w:val="0"/>
                <w:szCs w:val="24"/>
              </w:rPr>
              <w:t>电梯拆除、采购及安装</w:t>
            </w:r>
          </w:p>
        </w:tc>
        <w:tc>
          <w:tcPr>
            <w:tcW w:w="269" w:type="pct"/>
            <w:vAlign w:val="center"/>
          </w:tcPr>
          <w:p>
            <w:pPr>
              <w:pStyle w:val="14"/>
              <w:keepNext w:val="0"/>
              <w:keepLines w:val="0"/>
              <w:pageBreakBefore w:val="0"/>
              <w:kinsoku/>
              <w:wordWrap/>
              <w:overflowPunct/>
              <w:topLinePunct w:val="0"/>
              <w:autoSpaceDE/>
              <w:autoSpaceDN/>
              <w:bidi w:val="0"/>
              <w:adjustRightInd/>
              <w:snapToGrid/>
              <w:spacing w:line="400" w:lineRule="exact"/>
              <w:jc w:val="center"/>
              <w:rPr>
                <w:b/>
                <w:lang w:eastAsia="zh-CN"/>
              </w:rPr>
            </w:pPr>
          </w:p>
        </w:tc>
        <w:tc>
          <w:tcPr>
            <w:tcW w:w="211" w:type="pct"/>
            <w:vAlign w:val="center"/>
          </w:tcPr>
          <w:p>
            <w:pPr>
              <w:pStyle w:val="16"/>
              <w:keepNext w:val="0"/>
              <w:keepLines w:val="0"/>
              <w:pageBreakBefore w:val="0"/>
              <w:kinsoku/>
              <w:wordWrap/>
              <w:overflowPunct/>
              <w:topLinePunct w:val="0"/>
              <w:autoSpaceDE/>
              <w:autoSpaceDN/>
              <w:bidi w:val="0"/>
              <w:adjustRightInd/>
              <w:snapToGrid/>
              <w:spacing w:line="400" w:lineRule="exact"/>
              <w:rPr>
                <w:lang w:eastAsia="zh-CN"/>
              </w:rPr>
            </w:pPr>
            <w:r>
              <w:rPr>
                <w:rFonts w:hint="eastAsia"/>
                <w:lang w:eastAsia="zh-CN"/>
              </w:rPr>
              <w:t>次</w:t>
            </w:r>
          </w:p>
        </w:tc>
        <w:tc>
          <w:tcPr>
            <w:tcW w:w="188"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rPr>
                <w:lang w:eastAsia="zh-CN"/>
              </w:rPr>
            </w:pPr>
            <w:r>
              <w:rPr>
                <w:rFonts w:hint="eastAsia"/>
                <w:lang w:eastAsia="zh-CN"/>
              </w:rPr>
              <w:t>1</w:t>
            </w:r>
          </w:p>
        </w:tc>
        <w:tc>
          <w:tcPr>
            <w:tcW w:w="275"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书宋_GBK" w:hAnsi="方正书宋_GBK" w:eastAsia="方正书宋_GBK" w:cs="方正书宋_GBK"/>
                <w:b/>
                <w:kern w:val="0"/>
                <w:szCs w:val="24"/>
              </w:rPr>
            </w:pPr>
            <w:r>
              <w:rPr>
                <w:rFonts w:hint="eastAsia" w:cs="方正书宋_GBK"/>
                <w:b/>
                <w:kern w:val="0"/>
                <w:szCs w:val="24"/>
              </w:rPr>
              <w:t>78.5</w:t>
            </w:r>
          </w:p>
        </w:tc>
        <w:tc>
          <w:tcPr>
            <w:tcW w:w="312"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书宋_GBK" w:hAnsi="方正书宋_GBK" w:eastAsia="方正书宋_GBK" w:cs="方正书宋_GBK"/>
                <w:b/>
                <w:kern w:val="0"/>
                <w:szCs w:val="24"/>
              </w:rPr>
            </w:pPr>
            <w:r>
              <w:rPr>
                <w:rFonts w:hint="eastAsia" w:cs="方正书宋_GBK"/>
                <w:b/>
                <w:kern w:val="0"/>
                <w:szCs w:val="24"/>
              </w:rPr>
              <w:t>78.5</w:t>
            </w:r>
          </w:p>
        </w:tc>
        <w:tc>
          <w:tcPr>
            <w:tcW w:w="312"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书宋_GBK" w:hAnsi="方正书宋_GBK" w:eastAsia="方正书宋_GBK" w:cs="方正书宋_GBK"/>
                <w:b/>
                <w:kern w:val="0"/>
                <w:szCs w:val="24"/>
              </w:rPr>
            </w:pPr>
            <w:r>
              <w:rPr>
                <w:rFonts w:hint="eastAsia" w:cs="方正书宋_GBK"/>
                <w:b/>
                <w:kern w:val="0"/>
                <w:szCs w:val="24"/>
              </w:rPr>
              <w:t>78.5</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23" w:type="pct"/>
            <w:vAlign w:val="center"/>
          </w:tcPr>
          <w:p>
            <w:pPr>
              <w:pStyle w:val="13"/>
              <w:keepNext w:val="0"/>
              <w:keepLines w:val="0"/>
              <w:pageBreakBefore w:val="0"/>
              <w:kinsoku/>
              <w:wordWrap/>
              <w:overflowPunct/>
              <w:topLinePunct w:val="0"/>
              <w:autoSpaceDE/>
              <w:autoSpaceDN/>
              <w:bidi w:val="0"/>
              <w:adjustRightInd/>
              <w:snapToGrid/>
              <w:spacing w:line="400" w:lineRule="exact"/>
              <w:jc w:val="center"/>
            </w:pPr>
          </w:p>
        </w:tc>
        <w:tc>
          <w:tcPr>
            <w:tcW w:w="312" w:type="pct"/>
            <w:vAlign w:val="center"/>
          </w:tcPr>
          <w:p>
            <w:pPr>
              <w:pStyle w:val="14"/>
              <w:keepNext w:val="0"/>
              <w:keepLines w:val="0"/>
              <w:pageBreakBefore w:val="0"/>
              <w:kinsoku/>
              <w:wordWrap/>
              <w:overflowPunct/>
              <w:topLinePunct w:val="0"/>
              <w:autoSpaceDE/>
              <w:autoSpaceDN/>
              <w:bidi w:val="0"/>
              <w:adjustRightInd/>
              <w:snapToGrid/>
              <w:spacing w:line="400" w:lineRule="exact"/>
              <w:jc w:val="center"/>
              <w:rPr>
                <w:b/>
                <w:lang w:eastAsia="zh-CN"/>
              </w:rPr>
            </w:pPr>
            <w:r>
              <w:rPr>
                <w:rFonts w:hint="eastAsia"/>
                <w:b/>
                <w:lang w:eastAsia="zh-CN"/>
              </w:rPr>
              <w:t>否</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广阳区人民医院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22"/>
        </w:rPr>
        <w:t>1625.61464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广阳区卫生健康局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1625.61464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73.18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1226.25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325.18464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23BB0"/>
    <w:rsid w:val="000F6018"/>
    <w:rsid w:val="0025632D"/>
    <w:rsid w:val="003059E0"/>
    <w:rsid w:val="004A54AA"/>
    <w:rsid w:val="007A6648"/>
    <w:rsid w:val="00944233"/>
    <w:rsid w:val="009666AE"/>
    <w:rsid w:val="00B40732"/>
    <w:rsid w:val="00B80935"/>
    <w:rsid w:val="00C57300"/>
    <w:rsid w:val="00C96981"/>
    <w:rsid w:val="00CB0327"/>
    <w:rsid w:val="00D347CC"/>
    <w:rsid w:val="00DC54A4"/>
    <w:rsid w:val="00DC72B4"/>
    <w:rsid w:val="00E618B9"/>
    <w:rsid w:val="00E95A2B"/>
    <w:rsid w:val="0CEC1180"/>
    <w:rsid w:val="15A3531A"/>
    <w:rsid w:val="1DF83C1D"/>
    <w:rsid w:val="2CA90629"/>
    <w:rsid w:val="32D21EFF"/>
    <w:rsid w:val="37D85C7A"/>
    <w:rsid w:val="392735FD"/>
    <w:rsid w:val="3AEE7856"/>
    <w:rsid w:val="46DB0203"/>
    <w:rsid w:val="493D6956"/>
    <w:rsid w:val="49B76F84"/>
    <w:rsid w:val="4D4844AA"/>
    <w:rsid w:val="5312320F"/>
    <w:rsid w:val="538751A2"/>
    <w:rsid w:val="649F456A"/>
    <w:rsid w:val="65E026F1"/>
    <w:rsid w:val="66621046"/>
    <w:rsid w:val="68A80491"/>
    <w:rsid w:val="6BAB6BFF"/>
    <w:rsid w:val="6CC47053"/>
    <w:rsid w:val="6D57139A"/>
    <w:rsid w:val="73693C55"/>
    <w:rsid w:val="76C43C45"/>
    <w:rsid w:val="78894EBD"/>
    <w:rsid w:val="7ADF4CF7"/>
    <w:rsid w:val="7C623753"/>
    <w:rsid w:val="7D53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701</Words>
  <Characters>3996</Characters>
  <Lines>33</Lines>
  <Paragraphs>9</Paragraphs>
  <TotalTime>7</TotalTime>
  <ScaleCrop>false</ScaleCrop>
  <LinksUpToDate>false</LinksUpToDate>
  <CharactersWithSpaces>4688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2022-03-12T08:50:00Z</dcterms:created>
  <dc:creator>guest</dc:creator>
  <cp:lastModifiedBy>CXL</cp:lastModifiedBy>
  <cp:lastPrinted>2018-01-30T06:12:00Z</cp:lastPrinted>
  <dcterms:modified xsi:type="dcterms:W3CDTF">2023-08-14T09:28:54Z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691BBB49D57D48D093C8052508A8F19D</vt:lpwstr>
  </property>
</Properties>
</file>