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880" w:firstLineChars="200"/>
        <w:jc w:val="center"/>
        <w:rPr>
          <w:rFonts w:ascii="Times New Roman" w:hAnsi="Times New Roman" w:eastAsia="方正小标宋简体" w:cs="Times New Roman"/>
          <w:sz w:val="44"/>
          <w:szCs w:val="44"/>
        </w:rPr>
      </w:pPr>
      <w:r>
        <w:rPr>
          <w:rFonts w:hint="eastAsia" w:ascii="Times New Roman" w:hAnsi="Times New Roman" w:eastAsia="方正小标宋简体" w:cs="Times New Roman"/>
          <w:sz w:val="44"/>
          <w:szCs w:val="44"/>
        </w:rPr>
        <w:t>廊坊市广阳区保健院</w:t>
      </w:r>
      <w:r>
        <w:rPr>
          <w:rFonts w:ascii="Times New Roman" w:hAnsi="Times New Roman" w:eastAsia="方正小标宋简体" w:cs="Times New Roman"/>
          <w:sz w:val="44"/>
          <w:szCs w:val="44"/>
        </w:rPr>
        <w:t>2022</w:t>
      </w:r>
      <w:r>
        <w:rPr>
          <w:rFonts w:hint="eastAsia" w:ascii="Times New Roman" w:hAnsi="Times New Roman" w:eastAsia="方正小标宋简体" w:cs="Times New Roman"/>
          <w:sz w:val="44"/>
          <w:szCs w:val="44"/>
        </w:rPr>
        <w:t>年</w:t>
      </w:r>
      <w:r>
        <w:rPr>
          <w:rFonts w:hint="eastAsia" w:ascii="Times New Roman" w:hAnsi="Times New Roman" w:eastAsia="方正小标宋简体" w:cs="Times New Roman"/>
          <w:sz w:val="44"/>
          <w:szCs w:val="44"/>
          <w:lang w:eastAsia="zh-CN"/>
        </w:rPr>
        <w:t>单位</w:t>
      </w:r>
      <w:r>
        <w:rPr>
          <w:rFonts w:hint="eastAsia" w:ascii="Times New Roman" w:hAnsi="Times New Roman" w:eastAsia="方正小标宋简体" w:cs="Times New Roman"/>
          <w:sz w:val="44"/>
          <w:szCs w:val="44"/>
        </w:rPr>
        <w:t>预算信息公开情况说明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按照《中华人民共和国预算法》、《中华人民共和国预算法实施条例》、《地方预决算公开操作规程》和《河北省省级预算公开办法》规定，现将廊坊市广阳区妇幼保健院</w:t>
      </w:r>
      <w:r>
        <w:rPr>
          <w:rFonts w:ascii="Times New Roman" w:hAnsi="Times New Roman" w:eastAsia="仿宋_GB2312" w:cs="Times New Roman"/>
          <w:sz w:val="32"/>
          <w:szCs w:val="32"/>
        </w:rPr>
        <w:t>2022</w:t>
      </w:r>
      <w:r>
        <w:rPr>
          <w:rFonts w:hint="eastAsia" w:ascii="Times New Roman" w:hAnsi="Times New Roman" w:eastAsia="仿宋_GB2312" w:cs="Times New Roman"/>
          <w:sz w:val="32"/>
          <w:szCs w:val="32"/>
        </w:rPr>
        <w:t>年</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预算公开如下：</w:t>
      </w:r>
    </w:p>
    <w:p>
      <w:pPr>
        <w:spacing w:line="584"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一、</w:t>
      </w:r>
      <w:r>
        <w:rPr>
          <w:rFonts w:hint="eastAsia" w:ascii="Times New Roman" w:hAnsi="Times New Roman" w:eastAsia="黑体" w:cs="Times New Roman"/>
          <w:sz w:val="32"/>
          <w:szCs w:val="32"/>
          <w:lang w:eastAsia="zh-CN"/>
        </w:rPr>
        <w:t>单位</w:t>
      </w:r>
      <w:r>
        <w:rPr>
          <w:rFonts w:hint="eastAsia" w:ascii="Times New Roman" w:hAnsi="Times New Roman" w:eastAsia="黑体" w:cs="Times New Roman"/>
          <w:sz w:val="32"/>
          <w:szCs w:val="32"/>
        </w:rPr>
        <w:t>职责及机构设置情况</w:t>
      </w:r>
    </w:p>
    <w:p>
      <w:pPr>
        <w:spacing w:line="584" w:lineRule="exact"/>
        <w:ind w:firstLine="643" w:firstLineChars="200"/>
        <w:rPr>
          <w:rFonts w:ascii="Times New Roman" w:hAnsi="Times New Roman" w:eastAsia="楷体_GB2312" w:cs="Times New Roman"/>
          <w:b/>
          <w:sz w:val="32"/>
          <w:szCs w:val="32"/>
        </w:rPr>
      </w:pPr>
      <w:r>
        <w:rPr>
          <w:rFonts w:hint="eastAsia" w:ascii="Times New Roman" w:hAnsi="Times New Roman" w:eastAsia="楷体_GB2312" w:cs="Times New Roman"/>
          <w:b/>
          <w:sz w:val="32"/>
          <w:szCs w:val="32"/>
          <w:lang w:eastAsia="zh-CN"/>
        </w:rPr>
        <w:t>单位</w:t>
      </w:r>
      <w:r>
        <w:rPr>
          <w:rFonts w:hint="eastAsia" w:ascii="Times New Roman" w:hAnsi="Times New Roman" w:eastAsia="楷体_GB2312" w:cs="Times New Roman"/>
          <w:b/>
          <w:sz w:val="32"/>
          <w:szCs w:val="32"/>
        </w:rPr>
        <w:t>职责：</w:t>
      </w:r>
    </w:p>
    <w:p>
      <w:pPr>
        <w:spacing w:line="584"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1、掌握本地区妇女、儿童健康状况和妇幼保健工作情况，对危害妇女、儿童健康的主要因素提出防治计划和措施;</w:t>
      </w:r>
    </w:p>
    <w:p>
      <w:pPr>
        <w:spacing w:line="584"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2、指导基层做好孕产妇、儿童保健系统管理，做好高危孕产妇、体弱儿管理，做好集体儿童卫生保健，配合有关</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真正落实女职工保健措施;</w:t>
      </w:r>
      <w:bookmarkStart w:id="2" w:name="_GoBack"/>
      <w:bookmarkEnd w:id="2"/>
    </w:p>
    <w:p>
      <w:pPr>
        <w:spacing w:line="584"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3、对基层妇幼保健工作进行检查、指导、督促，不断提高工作质量;</w:t>
      </w:r>
    </w:p>
    <w:p>
      <w:pPr>
        <w:spacing w:line="584"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4、有计划的培训、复训基层妇幼保健人员，提高业务技术水平。协助区卫校培养妇幼卫生人员;</w:t>
      </w:r>
    </w:p>
    <w:p>
      <w:pPr>
        <w:spacing w:line="584"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5、深入基层调查研究，培养典型，推动全面，在上级指导下开展科学研究工作;</w:t>
      </w:r>
    </w:p>
    <w:p>
      <w:pPr>
        <w:spacing w:line="584"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6、开展保健门诊：包括产前、产后检查，妇女病普查、儿童健康检查、优生遗传咨询，计划生育技术指导门诊，开展住院业务;</w:t>
      </w:r>
    </w:p>
    <w:p>
      <w:pPr>
        <w:spacing w:line="584"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7、编写科普资料，通过多种渠道宣传普及妇幼卫生科学知识。</w:t>
      </w:r>
    </w:p>
    <w:p>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hint="eastAsia" w:ascii="Times New Roman" w:hAnsi="Times New Roman" w:eastAsia="楷体_GB2312" w:cs="Times New Roman"/>
          <w:b/>
          <w:sz w:val="32"/>
          <w:szCs w:val="32"/>
        </w:rPr>
        <w:t>机构设置：</w:t>
      </w:r>
    </w:p>
    <w:p>
      <w:pPr>
        <w:spacing w:line="584" w:lineRule="exact"/>
        <w:jc w:val="center"/>
        <w:outlineLvl w:val="0"/>
        <w:rPr>
          <w:rFonts w:ascii="Times New Roman" w:hAnsi="Times New Roman" w:eastAsia="仿宋_GB2312" w:cs="Times New Roman"/>
          <w:b/>
          <w:sz w:val="32"/>
          <w:szCs w:val="32"/>
        </w:rPr>
      </w:pPr>
      <w:r>
        <w:rPr>
          <w:rFonts w:hint="eastAsia" w:ascii="Times New Roman" w:hAnsi="Times New Roman" w:eastAsia="仿宋_GB2312" w:cs="Times New Roman"/>
          <w:b/>
          <w:sz w:val="32"/>
          <w:szCs w:val="32"/>
          <w:lang w:eastAsia="zh-CN"/>
        </w:rPr>
        <w:t>单位</w:t>
      </w:r>
      <w:r>
        <w:rPr>
          <w:rFonts w:hint="eastAsia" w:ascii="Times New Roman" w:hAnsi="Times New Roman" w:eastAsia="仿宋_GB2312" w:cs="Times New Roman"/>
          <w:b/>
          <w:sz w:val="32"/>
          <w:szCs w:val="32"/>
        </w:rPr>
        <w:t>机构设置情况</w:t>
      </w:r>
    </w:p>
    <w:tbl>
      <w:tblPr>
        <w:tblStyle w:val="10"/>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78"/>
        <w:gridCol w:w="2599"/>
        <w:gridCol w:w="1501"/>
        <w:gridCol w:w="267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2978" w:type="dxa"/>
            <w:vMerge w:val="restart"/>
            <w:vAlign w:val="center"/>
          </w:tcPr>
          <w:p>
            <w:pPr>
              <w:spacing w:line="584" w:lineRule="exact"/>
              <w:jc w:val="center"/>
              <w:rPr>
                <w:rFonts w:ascii="Times New Roman" w:hAnsi="Times New Roman" w:eastAsia="仿宋_GB2312" w:cs="Times New Roman"/>
                <w:b/>
                <w:sz w:val="32"/>
                <w:szCs w:val="32"/>
              </w:rPr>
            </w:pPr>
            <w:r>
              <w:rPr>
                <w:rFonts w:hint="eastAsia" w:ascii="Times New Roman" w:hAnsi="Times New Roman" w:eastAsia="仿宋_GB2312" w:cs="Times New Roman"/>
                <w:b/>
                <w:sz w:val="32"/>
                <w:szCs w:val="32"/>
              </w:rPr>
              <w:t>单位名称</w:t>
            </w:r>
          </w:p>
        </w:tc>
        <w:tc>
          <w:tcPr>
            <w:tcW w:w="2599" w:type="dxa"/>
            <w:vMerge w:val="restart"/>
            <w:vAlign w:val="center"/>
          </w:tcPr>
          <w:p>
            <w:pPr>
              <w:spacing w:line="584" w:lineRule="exact"/>
              <w:jc w:val="center"/>
              <w:rPr>
                <w:rFonts w:ascii="Times New Roman" w:hAnsi="Times New Roman" w:eastAsia="仿宋_GB2312" w:cs="Times New Roman"/>
                <w:b/>
                <w:sz w:val="32"/>
                <w:szCs w:val="32"/>
              </w:rPr>
            </w:pPr>
            <w:r>
              <w:rPr>
                <w:rFonts w:hint="eastAsia" w:ascii="Times New Roman" w:hAnsi="Times New Roman" w:eastAsia="仿宋_GB2312" w:cs="Times New Roman"/>
                <w:b/>
                <w:sz w:val="32"/>
                <w:szCs w:val="32"/>
              </w:rPr>
              <w:t>单位性质</w:t>
            </w:r>
          </w:p>
        </w:tc>
        <w:tc>
          <w:tcPr>
            <w:tcW w:w="1501" w:type="dxa"/>
            <w:vMerge w:val="restart"/>
            <w:vAlign w:val="center"/>
          </w:tcPr>
          <w:p>
            <w:pPr>
              <w:spacing w:line="584" w:lineRule="exact"/>
              <w:jc w:val="center"/>
              <w:rPr>
                <w:rFonts w:ascii="Times New Roman" w:hAnsi="Times New Roman" w:eastAsia="仿宋_GB2312" w:cs="Times New Roman"/>
                <w:b/>
                <w:sz w:val="32"/>
                <w:szCs w:val="32"/>
              </w:rPr>
            </w:pPr>
            <w:r>
              <w:rPr>
                <w:rFonts w:hint="eastAsia" w:ascii="Times New Roman" w:hAnsi="Times New Roman" w:eastAsia="仿宋_GB2312" w:cs="Times New Roman"/>
                <w:b/>
                <w:sz w:val="32"/>
                <w:szCs w:val="32"/>
              </w:rPr>
              <w:t>单位规格</w:t>
            </w:r>
          </w:p>
        </w:tc>
        <w:tc>
          <w:tcPr>
            <w:tcW w:w="2677" w:type="dxa"/>
            <w:vMerge w:val="restart"/>
            <w:vAlign w:val="center"/>
          </w:tcPr>
          <w:p>
            <w:pPr>
              <w:spacing w:line="584" w:lineRule="exact"/>
              <w:jc w:val="center"/>
              <w:rPr>
                <w:rFonts w:ascii="Times New Roman" w:hAnsi="Times New Roman" w:eastAsia="仿宋_GB2312" w:cs="Times New Roman"/>
                <w:b/>
                <w:sz w:val="32"/>
                <w:szCs w:val="32"/>
              </w:rPr>
            </w:pPr>
            <w:r>
              <w:rPr>
                <w:rFonts w:hint="eastAsia" w:ascii="Times New Roman" w:hAnsi="Times New Roman" w:eastAsia="仿宋_GB2312" w:cs="Times New Roman"/>
                <w:b/>
                <w:sz w:val="32"/>
                <w:szCs w:val="32"/>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4" w:hRule="atLeast"/>
          <w:tblHeader/>
          <w:jc w:val="center"/>
        </w:trPr>
        <w:tc>
          <w:tcPr>
            <w:tcW w:w="2978" w:type="dxa"/>
            <w:vMerge w:val="continue"/>
            <w:vAlign w:val="center"/>
          </w:tcPr>
          <w:p>
            <w:pPr>
              <w:rPr>
                <w:sz w:val="32"/>
                <w:szCs w:val="32"/>
              </w:rPr>
            </w:pPr>
          </w:p>
        </w:tc>
        <w:tc>
          <w:tcPr>
            <w:tcW w:w="2599" w:type="dxa"/>
            <w:vMerge w:val="continue"/>
            <w:vAlign w:val="center"/>
          </w:tcPr>
          <w:p>
            <w:pPr>
              <w:rPr>
                <w:sz w:val="32"/>
                <w:szCs w:val="32"/>
              </w:rPr>
            </w:pPr>
          </w:p>
        </w:tc>
        <w:tc>
          <w:tcPr>
            <w:tcW w:w="1501" w:type="dxa"/>
            <w:vMerge w:val="continue"/>
            <w:vAlign w:val="center"/>
          </w:tcPr>
          <w:p>
            <w:pPr>
              <w:rPr>
                <w:sz w:val="32"/>
                <w:szCs w:val="32"/>
              </w:rPr>
            </w:pPr>
          </w:p>
        </w:tc>
        <w:tc>
          <w:tcPr>
            <w:tcW w:w="2677" w:type="dxa"/>
            <w:vMerge w:val="continue"/>
            <w:vAlign w:val="center"/>
          </w:tcPr>
          <w:p>
            <w:pPr>
              <w:rPr>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2978" w:type="dxa"/>
            <w:vAlign w:val="center"/>
          </w:tcPr>
          <w:p>
            <w:pPr>
              <w:spacing w:line="584" w:lineRule="exact"/>
              <w:jc w:val="center"/>
              <w:rPr>
                <w:rFonts w:ascii="Times New Roman" w:hAnsi="Times New Roman" w:eastAsia="仿宋_GB2312" w:cs="Times New Roman"/>
                <w:b w:val="0"/>
                <w:bCs/>
                <w:color w:val="auto"/>
                <w:sz w:val="32"/>
                <w:szCs w:val="32"/>
              </w:rPr>
            </w:pPr>
            <w:r>
              <w:rPr>
                <w:rFonts w:hint="eastAsia" w:ascii="Times New Roman" w:hAnsi="Times New Roman" w:eastAsia="仿宋_GB2312" w:cs="Times New Roman"/>
                <w:b w:val="0"/>
                <w:bCs/>
                <w:color w:val="auto"/>
                <w:sz w:val="32"/>
                <w:szCs w:val="32"/>
              </w:rPr>
              <w:t>廊坊市广阳区妇幼保健院</w:t>
            </w:r>
          </w:p>
        </w:tc>
        <w:tc>
          <w:tcPr>
            <w:tcW w:w="2599" w:type="dxa"/>
            <w:vAlign w:val="center"/>
          </w:tcPr>
          <w:p>
            <w:pPr>
              <w:spacing w:line="584" w:lineRule="exact"/>
              <w:jc w:val="center"/>
              <w:rPr>
                <w:rFonts w:ascii="Times New Roman" w:hAnsi="Times New Roman" w:eastAsia="仿宋_GB2312" w:cs="Times New Roman"/>
                <w:b w:val="0"/>
                <w:bCs/>
                <w:color w:val="auto"/>
                <w:sz w:val="32"/>
                <w:szCs w:val="32"/>
              </w:rPr>
            </w:pPr>
            <w:r>
              <w:rPr>
                <w:rFonts w:hint="eastAsia" w:ascii="Times New Roman" w:hAnsi="Times New Roman" w:eastAsia="仿宋" w:cs="Times New Roman"/>
                <w:b w:val="0"/>
                <w:bCs/>
                <w:color w:val="auto"/>
                <w:sz w:val="32"/>
                <w:szCs w:val="32"/>
              </w:rPr>
              <w:t>参照公务员管理的事业单位</w:t>
            </w:r>
          </w:p>
        </w:tc>
        <w:tc>
          <w:tcPr>
            <w:tcW w:w="1501" w:type="dxa"/>
            <w:vAlign w:val="center"/>
          </w:tcPr>
          <w:p>
            <w:pPr>
              <w:spacing w:line="584" w:lineRule="exact"/>
              <w:jc w:val="center"/>
              <w:rPr>
                <w:rFonts w:ascii="Times New Roman" w:hAnsi="Times New Roman" w:eastAsia="仿宋_GB2312" w:cs="Times New Roman"/>
                <w:b w:val="0"/>
                <w:bCs/>
                <w:color w:val="auto"/>
                <w:sz w:val="32"/>
                <w:szCs w:val="32"/>
              </w:rPr>
            </w:pPr>
            <w:r>
              <w:rPr>
                <w:rFonts w:hint="eastAsia" w:ascii="Times New Roman" w:hAnsi="Times New Roman" w:eastAsia="仿宋_GB2312" w:cs="Times New Roman"/>
                <w:b w:val="0"/>
                <w:bCs/>
                <w:color w:val="auto"/>
                <w:sz w:val="32"/>
                <w:szCs w:val="32"/>
              </w:rPr>
              <w:t>正科级</w:t>
            </w:r>
          </w:p>
        </w:tc>
        <w:tc>
          <w:tcPr>
            <w:tcW w:w="2677" w:type="dxa"/>
            <w:vAlign w:val="center"/>
          </w:tcPr>
          <w:p>
            <w:pPr>
              <w:spacing w:line="584" w:lineRule="exact"/>
              <w:jc w:val="center"/>
              <w:rPr>
                <w:rFonts w:ascii="Times New Roman" w:hAnsi="Times New Roman" w:eastAsia="仿宋_GB2312" w:cs="Times New Roman"/>
                <w:b w:val="0"/>
                <w:bCs/>
                <w:color w:val="auto"/>
                <w:sz w:val="32"/>
                <w:szCs w:val="32"/>
              </w:rPr>
            </w:pPr>
            <w:r>
              <w:rPr>
                <w:rFonts w:hint="eastAsia" w:ascii="Times New Roman" w:hAnsi="Times New Roman" w:eastAsia="仿宋" w:cs="Times New Roman"/>
                <w:b w:val="0"/>
                <w:bCs/>
                <w:color w:val="auto"/>
                <w:sz w:val="32"/>
                <w:szCs w:val="32"/>
              </w:rPr>
              <w:t>财政性资金定额或定向补助（差额事业）</w:t>
            </w:r>
          </w:p>
        </w:tc>
      </w:tr>
    </w:tbl>
    <w:p>
      <w:pPr>
        <w:spacing w:line="584"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二、</w:t>
      </w:r>
      <w:r>
        <w:rPr>
          <w:rFonts w:hint="eastAsia" w:ascii="Times New Roman" w:hAnsi="Times New Roman" w:eastAsia="黑体" w:cs="Times New Roman"/>
          <w:sz w:val="32"/>
          <w:szCs w:val="32"/>
          <w:lang w:eastAsia="zh-CN"/>
        </w:rPr>
        <w:t>单位</w:t>
      </w:r>
      <w:r>
        <w:rPr>
          <w:rFonts w:hint="eastAsia" w:ascii="Times New Roman" w:hAnsi="Times New Roman" w:eastAsia="黑体" w:cs="Times New Roman"/>
          <w:sz w:val="32"/>
          <w:szCs w:val="32"/>
        </w:rPr>
        <w:t>预算安排的总体情况</w:t>
      </w:r>
    </w:p>
    <w:p>
      <w:pPr>
        <w:spacing w:line="584"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按照预算管理有关规定，目前我区</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预算的编制实行综合预算制度，即全部收入和支出都反映在预算中。</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w:t>
      </w:r>
      <w:r>
        <w:rPr>
          <w:rFonts w:hint="eastAsia" w:ascii="Times New Roman" w:hAnsi="Times New Roman" w:eastAsia="仿宋_GB2312" w:cs="Times New Roman"/>
          <w:b/>
          <w:sz w:val="32"/>
          <w:szCs w:val="32"/>
        </w:rPr>
        <w:t>、收入说明</w:t>
      </w:r>
    </w:p>
    <w:p>
      <w:pPr>
        <w:spacing w:line="584" w:lineRule="exact"/>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反映本</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当年全部收入。</w:t>
      </w:r>
      <w:r>
        <w:rPr>
          <w:rFonts w:ascii="Times New Roman" w:hAnsi="Times New Roman" w:eastAsia="仿宋_GB2312" w:cs="Times New Roman"/>
          <w:sz w:val="32"/>
          <w:szCs w:val="32"/>
        </w:rPr>
        <w:t>2022</w:t>
      </w:r>
      <w:r>
        <w:rPr>
          <w:rFonts w:hint="eastAsia" w:ascii="Times New Roman" w:hAnsi="Times New Roman" w:eastAsia="仿宋_GB2312" w:cs="Times New Roman"/>
          <w:sz w:val="32"/>
          <w:szCs w:val="32"/>
        </w:rPr>
        <w:t>年预算收入</w:t>
      </w:r>
      <w:r>
        <w:rPr>
          <w:rFonts w:ascii="Times New Roman" w:hAnsi="Times New Roman" w:eastAsia="仿宋_GB2312" w:cs="Times New Roman"/>
          <w:sz w:val="32"/>
          <w:szCs w:val="32"/>
        </w:rPr>
        <w:t>253.79</w:t>
      </w:r>
      <w:r>
        <w:rPr>
          <w:rFonts w:hint="eastAsia" w:ascii="Times New Roman" w:hAnsi="Times New Roman" w:eastAsia="仿宋_GB2312" w:cs="Times New Roman"/>
          <w:sz w:val="32"/>
          <w:szCs w:val="32"/>
        </w:rPr>
        <w:t>万元，其中：一般公共预算收入</w:t>
      </w:r>
      <w:r>
        <w:rPr>
          <w:rFonts w:ascii="Times New Roman" w:hAnsi="Times New Roman" w:eastAsia="仿宋_GB2312" w:cs="Times New Roman"/>
          <w:sz w:val="32"/>
          <w:szCs w:val="32"/>
        </w:rPr>
        <w:t>253.79</w:t>
      </w:r>
      <w:r>
        <w:rPr>
          <w:rFonts w:hint="eastAsia" w:ascii="Times New Roman" w:hAnsi="Times New Roman" w:eastAsia="仿宋_GB2312" w:cs="Times New Roman"/>
          <w:sz w:val="32"/>
          <w:szCs w:val="32"/>
        </w:rPr>
        <w:t>万元，基金预算收入</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万元，财政专户核拨收入</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万元，其他来源收入</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万元，上年结转</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w:t>
      </w:r>
      <w:r>
        <w:rPr>
          <w:rFonts w:hint="eastAsia" w:ascii="Times New Roman" w:hAnsi="Times New Roman" w:eastAsia="仿宋_GB2312" w:cs="Times New Roman"/>
          <w:b/>
          <w:sz w:val="32"/>
          <w:szCs w:val="32"/>
        </w:rPr>
        <w:t>、支出说明</w:t>
      </w:r>
    </w:p>
    <w:p>
      <w:pPr>
        <w:spacing w:line="584" w:lineRule="exact"/>
        <w:ind w:firstLine="640"/>
        <w:rPr>
          <w:rFonts w:ascii="Times New Roman" w:hAnsi="Times New Roman" w:eastAsia="仿宋_GB2312" w:cs="Times New Roman"/>
          <w:b/>
          <w:sz w:val="32"/>
          <w:szCs w:val="32"/>
        </w:rPr>
      </w:pPr>
      <w:r>
        <w:rPr>
          <w:rFonts w:hint="eastAsia" w:ascii="Times New Roman" w:hAnsi="Times New Roman" w:eastAsia="仿宋_GB2312" w:cs="Times New Roman"/>
          <w:sz w:val="32"/>
          <w:szCs w:val="32"/>
        </w:rPr>
        <w:t>收支预算总表支出栏、基本支出表、项目支出表按经济分类和支出功能分类科目编制，反映廊坊市广阳区妇幼保健院</w:t>
      </w:r>
      <w:r>
        <w:rPr>
          <w:rFonts w:ascii="Times New Roman" w:hAnsi="Times New Roman" w:eastAsia="仿宋_GB2312" w:cs="Times New Roman"/>
          <w:sz w:val="32"/>
          <w:szCs w:val="32"/>
        </w:rPr>
        <w:t>202</w:t>
      </w:r>
      <w:r>
        <w:rPr>
          <w:rFonts w:hint="eastAsia"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rPr>
        <w:t>年度</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预算中支出预算的总体情况。</w:t>
      </w:r>
      <w:r>
        <w:rPr>
          <w:rFonts w:ascii="Times New Roman" w:hAnsi="Times New Roman" w:eastAsia="仿宋_GB2312" w:cs="Times New Roman"/>
          <w:sz w:val="32"/>
          <w:szCs w:val="32"/>
        </w:rPr>
        <w:t>2022</w:t>
      </w:r>
      <w:r>
        <w:rPr>
          <w:rFonts w:hint="eastAsia" w:ascii="Times New Roman" w:hAnsi="Times New Roman" w:eastAsia="仿宋_GB2312" w:cs="Times New Roman"/>
          <w:sz w:val="32"/>
          <w:szCs w:val="32"/>
        </w:rPr>
        <w:t>年支出预算</w:t>
      </w:r>
      <w:r>
        <w:rPr>
          <w:rFonts w:ascii="Times New Roman" w:hAnsi="Times New Roman" w:eastAsia="仿宋_GB2312" w:cs="Times New Roman"/>
          <w:sz w:val="32"/>
          <w:szCs w:val="32"/>
        </w:rPr>
        <w:t>253.79</w:t>
      </w:r>
      <w:r>
        <w:rPr>
          <w:rFonts w:hint="eastAsia" w:ascii="Times New Roman" w:hAnsi="Times New Roman" w:eastAsia="仿宋_GB2312" w:cs="Times New Roman"/>
          <w:sz w:val="32"/>
          <w:szCs w:val="32"/>
        </w:rPr>
        <w:t>万元，其中基本支出</w:t>
      </w:r>
      <w:r>
        <w:rPr>
          <w:rFonts w:ascii="Times New Roman" w:hAnsi="Times New Roman" w:eastAsia="仿宋_GB2312" w:cs="Times New Roman"/>
          <w:sz w:val="32"/>
          <w:szCs w:val="32"/>
        </w:rPr>
        <w:t>253.79</w:t>
      </w:r>
      <w:r>
        <w:rPr>
          <w:rFonts w:hint="eastAsia" w:ascii="Times New Roman" w:hAnsi="Times New Roman" w:eastAsia="仿宋_GB2312" w:cs="Times New Roman"/>
          <w:sz w:val="32"/>
          <w:szCs w:val="32"/>
        </w:rPr>
        <w:t>万元，包括人员类项目经费</w:t>
      </w:r>
      <w:r>
        <w:rPr>
          <w:rFonts w:ascii="Times New Roman" w:hAnsi="Times New Roman" w:eastAsia="仿宋_GB2312" w:cs="Times New Roman"/>
          <w:sz w:val="32"/>
          <w:szCs w:val="32"/>
        </w:rPr>
        <w:t>253.79</w:t>
      </w:r>
      <w:r>
        <w:rPr>
          <w:rFonts w:hint="eastAsia" w:ascii="Times New Roman" w:hAnsi="Times New Roman" w:eastAsia="仿宋_GB2312" w:cs="Times New Roman"/>
          <w:sz w:val="32"/>
          <w:szCs w:val="32"/>
        </w:rPr>
        <w:t>万元和运转类公用项目经费</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万元；运转类其他及特定目标类项目支出</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w:t>
      </w:r>
      <w:r>
        <w:rPr>
          <w:rFonts w:ascii="Times New Roman" w:hAnsi="Times New Roman" w:eastAsia="仿宋_GB2312" w:cs="Times New Roman"/>
          <w:b/>
          <w:sz w:val="32"/>
          <w:szCs w:val="32"/>
        </w:rPr>
        <w:t xml:space="preserve"> </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w:t>
      </w:r>
      <w:r>
        <w:rPr>
          <w:rFonts w:hint="eastAsia" w:ascii="Times New Roman" w:hAnsi="Times New Roman" w:eastAsia="仿宋_GB2312" w:cs="Times New Roman"/>
          <w:b/>
          <w:sz w:val="32"/>
          <w:szCs w:val="32"/>
        </w:rPr>
        <w:t>、比上年增减情况</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2022</w:t>
      </w:r>
      <w:r>
        <w:rPr>
          <w:rFonts w:hint="eastAsia" w:ascii="Times New Roman" w:hAnsi="Times New Roman" w:eastAsia="仿宋_GB2312" w:cs="Times New Roman"/>
          <w:sz w:val="32"/>
          <w:szCs w:val="32"/>
        </w:rPr>
        <w:t>年预算收支安排</w:t>
      </w:r>
      <w:r>
        <w:rPr>
          <w:rFonts w:ascii="Times New Roman" w:hAnsi="Times New Roman" w:eastAsia="仿宋_GB2312" w:cs="Times New Roman"/>
          <w:sz w:val="32"/>
          <w:szCs w:val="32"/>
        </w:rPr>
        <w:t>253.79</w:t>
      </w:r>
      <w:r>
        <w:rPr>
          <w:rFonts w:hint="eastAsia" w:ascii="Times New Roman" w:hAnsi="Times New Roman" w:eastAsia="仿宋_GB2312" w:cs="Times New Roman"/>
          <w:sz w:val="32"/>
          <w:szCs w:val="32"/>
        </w:rPr>
        <w:t>万元，较</w:t>
      </w:r>
      <w:r>
        <w:rPr>
          <w:rFonts w:ascii="Times New Roman" w:hAnsi="Times New Roman" w:eastAsia="仿宋_GB2312" w:cs="Times New Roman"/>
          <w:sz w:val="32"/>
          <w:szCs w:val="32"/>
        </w:rPr>
        <w:t>2021</w:t>
      </w:r>
      <w:r>
        <w:rPr>
          <w:rFonts w:hint="eastAsia" w:ascii="Times New Roman" w:hAnsi="Times New Roman" w:eastAsia="仿宋_GB2312" w:cs="Times New Roman"/>
          <w:sz w:val="32"/>
          <w:szCs w:val="32"/>
        </w:rPr>
        <w:t>年预算减少</w:t>
      </w:r>
      <w:r>
        <w:rPr>
          <w:rFonts w:ascii="Times New Roman" w:hAnsi="Times New Roman" w:eastAsia="仿宋_GB2312" w:cs="Times New Roman"/>
          <w:sz w:val="32"/>
          <w:szCs w:val="32"/>
        </w:rPr>
        <w:t>17.87</w:t>
      </w:r>
      <w:r>
        <w:rPr>
          <w:rFonts w:hint="eastAsia" w:ascii="Times New Roman" w:hAnsi="Times New Roman" w:eastAsia="仿宋_GB2312" w:cs="Times New Roman"/>
          <w:sz w:val="32"/>
          <w:szCs w:val="32"/>
        </w:rPr>
        <w:t>万元，其中：基本支出减少</w:t>
      </w:r>
      <w:r>
        <w:rPr>
          <w:rFonts w:ascii="Times New Roman" w:hAnsi="Times New Roman" w:eastAsia="仿宋_GB2312" w:cs="Times New Roman"/>
          <w:sz w:val="32"/>
          <w:szCs w:val="32"/>
        </w:rPr>
        <w:t>17.87</w:t>
      </w:r>
      <w:r>
        <w:rPr>
          <w:rFonts w:hint="eastAsia" w:ascii="Times New Roman" w:hAnsi="Times New Roman" w:eastAsia="仿宋_GB2312" w:cs="Times New Roman"/>
          <w:sz w:val="32"/>
          <w:szCs w:val="32"/>
        </w:rPr>
        <w:t>万元，主要为人员类支出</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val="0"/>
        <w:autoSpaceDN w:val="0"/>
        <w:bidi w:val="0"/>
        <w:adjustRightInd w:val="0"/>
        <w:snapToGrid/>
        <w:spacing w:line="584" w:lineRule="exact"/>
        <w:ind w:left="0" w:leftChars="0" w:firstLine="640" w:firstLineChars="200"/>
        <w:jc w:val="left"/>
        <w:textAlignment w:val="auto"/>
        <w:rPr>
          <w:rFonts w:ascii="Times New Roman" w:hAnsi="Times New Roman" w:eastAsia="黑体" w:cs="Times New Roman"/>
          <w:sz w:val="32"/>
          <w:szCs w:val="32"/>
        </w:rPr>
      </w:pPr>
      <w:r>
        <w:rPr>
          <w:rFonts w:hint="eastAsia" w:ascii="Times New Roman" w:hAnsi="Times New Roman" w:eastAsia="黑体" w:cs="Times New Roman"/>
          <w:sz w:val="32"/>
          <w:szCs w:val="32"/>
        </w:rPr>
        <w:t>三、机关运行经费安排情况</w:t>
      </w:r>
    </w:p>
    <w:p>
      <w:pPr>
        <w:keepNext w:val="0"/>
        <w:keepLines w:val="0"/>
        <w:pageBreakBefore w:val="0"/>
        <w:widowControl w:val="0"/>
        <w:kinsoku/>
        <w:wordWrap/>
        <w:overflowPunct/>
        <w:topLinePunct w:val="0"/>
        <w:autoSpaceDE w:val="0"/>
        <w:autoSpaceDN w:val="0"/>
        <w:bidi w:val="0"/>
        <w:adjustRightInd w:val="0"/>
        <w:snapToGrid/>
        <w:spacing w:line="584" w:lineRule="exact"/>
        <w:ind w:left="0" w:leftChars="0" w:firstLine="640" w:firstLineChars="200"/>
        <w:jc w:val="lef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2022</w:t>
      </w:r>
      <w:r>
        <w:rPr>
          <w:rFonts w:hint="eastAsia" w:ascii="Times New Roman" w:hAnsi="Times New Roman" w:eastAsia="仿宋_GB2312" w:cs="Times New Roman"/>
          <w:sz w:val="32"/>
          <w:szCs w:val="32"/>
        </w:rPr>
        <w:t>年，我局机关运行经费共计安排</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w:t>
      </w:r>
    </w:p>
    <w:p>
      <w:pPr>
        <w:keepNext w:val="0"/>
        <w:keepLines w:val="0"/>
        <w:pageBreakBefore w:val="0"/>
        <w:widowControl w:val="0"/>
        <w:kinsoku/>
        <w:wordWrap/>
        <w:overflowPunct/>
        <w:topLinePunct w:val="0"/>
        <w:autoSpaceDE w:val="0"/>
        <w:autoSpaceDN w:val="0"/>
        <w:bidi w:val="0"/>
        <w:adjustRightInd w:val="0"/>
        <w:snapToGrid/>
        <w:spacing w:line="584" w:lineRule="exact"/>
        <w:ind w:left="0" w:leftChars="0" w:firstLine="640" w:firstLineChars="200"/>
        <w:jc w:val="left"/>
        <w:textAlignment w:val="auto"/>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四、财政拨款“三公”经费预算情况及增减变化原因</w:t>
      </w:r>
    </w:p>
    <w:p>
      <w:pPr>
        <w:keepNext w:val="0"/>
        <w:keepLines w:val="0"/>
        <w:pageBreakBefore w:val="0"/>
        <w:widowControl w:val="0"/>
        <w:kinsoku/>
        <w:wordWrap/>
        <w:overflowPunct/>
        <w:topLinePunct w:val="0"/>
        <w:autoSpaceDE w:val="0"/>
        <w:autoSpaceDN w:val="0"/>
        <w:bidi w:val="0"/>
        <w:adjustRightInd w:val="0"/>
        <w:snapToGrid/>
        <w:spacing w:line="584" w:lineRule="exact"/>
        <w:ind w:left="0" w:leftChars="0" w:firstLine="640" w:firstLineChars="200"/>
        <w:jc w:val="lef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2022</w:t>
      </w:r>
      <w:r>
        <w:rPr>
          <w:rFonts w:hint="eastAsia" w:ascii="Times New Roman" w:hAnsi="Times New Roman" w:eastAsia="仿宋_GB2312" w:cs="Times New Roman"/>
          <w:sz w:val="32"/>
          <w:szCs w:val="32"/>
        </w:rPr>
        <w:t>年，我局财政拨款</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三公</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经费预算安排</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w:t>
      </w:r>
    </w:p>
    <w:p>
      <w:pPr>
        <w:keepNext w:val="0"/>
        <w:keepLines w:val="0"/>
        <w:pageBreakBefore w:val="0"/>
        <w:widowControl w:val="0"/>
        <w:kinsoku/>
        <w:wordWrap/>
        <w:overflowPunct/>
        <w:topLinePunct w:val="0"/>
        <w:autoSpaceDE/>
        <w:autoSpaceDN/>
        <w:bidi w:val="0"/>
        <w:snapToGrid/>
        <w:spacing w:line="584" w:lineRule="exact"/>
        <w:ind w:left="0" w:leftChars="0" w:firstLine="640" w:firstLineChars="200"/>
        <w:textAlignment w:val="auto"/>
        <w:rPr>
          <w:rFonts w:ascii="Times New Roman" w:hAnsi="Times New Roman" w:eastAsia="黑体" w:cs="Times New Roman"/>
          <w:sz w:val="32"/>
          <w:szCs w:val="32"/>
        </w:rPr>
      </w:pPr>
      <w:r>
        <w:rPr>
          <w:rFonts w:hint="eastAsia" w:ascii="Times New Roman" w:hAnsi="Times New Roman" w:eastAsia="黑体" w:cs="Times New Roman"/>
          <w:sz w:val="32"/>
          <w:szCs w:val="32"/>
        </w:rPr>
        <w:t>五、绩效预算信息</w:t>
      </w:r>
    </w:p>
    <w:p>
      <w:pPr>
        <w:keepNext w:val="0"/>
        <w:keepLines w:val="0"/>
        <w:pageBreakBefore w:val="0"/>
        <w:widowControl w:val="0"/>
        <w:kinsoku/>
        <w:wordWrap/>
        <w:topLinePunct w:val="0"/>
        <w:autoSpaceDE/>
        <w:autoSpaceDN/>
        <w:bidi w:val="0"/>
        <w:spacing w:line="584" w:lineRule="exact"/>
        <w:ind w:firstLine="640" w:firstLineChars="200"/>
        <w:textAlignment w:val="auto"/>
        <w:rPr>
          <w:rFonts w:ascii="Times New Roman" w:hAnsi="Times New Roman" w:eastAsia="黑体" w:cs="Times New Roman"/>
          <w:sz w:val="32"/>
          <w:szCs w:val="32"/>
        </w:rPr>
      </w:pPr>
      <w:r>
        <w:rPr>
          <w:rFonts w:hint="eastAsia" w:ascii="Times New Roman" w:hAnsi="Times New Roman" w:eastAsia="黑体" w:cs="Times New Roman"/>
          <w:sz w:val="32"/>
          <w:szCs w:val="32"/>
        </w:rPr>
        <w:t>第一部分</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lang w:eastAsia="zh-CN"/>
        </w:rPr>
        <w:t>单位</w:t>
      </w:r>
      <w:r>
        <w:rPr>
          <w:rFonts w:hint="eastAsia" w:ascii="Times New Roman" w:hAnsi="Times New Roman" w:eastAsia="黑体" w:cs="Times New Roman"/>
          <w:sz w:val="32"/>
          <w:szCs w:val="32"/>
        </w:rPr>
        <w:t>整体绩效目标</w:t>
      </w:r>
    </w:p>
    <w:p>
      <w:pPr>
        <w:keepNext w:val="0"/>
        <w:keepLines w:val="0"/>
        <w:pageBreakBefore w:val="0"/>
        <w:widowControl w:val="0"/>
        <w:kinsoku/>
        <w:wordWrap/>
        <w:topLinePunct w:val="0"/>
        <w:autoSpaceDE/>
        <w:autoSpaceDN/>
        <w:bidi w:val="0"/>
        <w:spacing w:line="584" w:lineRule="exact"/>
        <w:ind w:firstLine="643" w:firstLineChars="200"/>
        <w:textAlignment w:val="auto"/>
        <w:rPr>
          <w:rFonts w:ascii="楷体_GB2312" w:eastAsia="楷体_GB2312" w:cs="Times New Roman"/>
          <w:b/>
          <w:sz w:val="32"/>
          <w:szCs w:val="32"/>
        </w:rPr>
      </w:pPr>
      <w:r>
        <w:rPr>
          <w:rFonts w:hint="eastAsia" w:ascii="楷体_GB2312" w:eastAsia="楷体_GB2312" w:cs="Times New Roman"/>
          <w:b/>
          <w:sz w:val="32"/>
          <w:szCs w:val="32"/>
        </w:rPr>
        <w:t>（一）总体绩效目标</w:t>
      </w:r>
    </w:p>
    <w:p>
      <w:pPr>
        <w:keepNext w:val="0"/>
        <w:keepLines w:val="0"/>
        <w:pageBreakBefore w:val="0"/>
        <w:widowControl w:val="0"/>
        <w:kinsoku/>
        <w:wordWrap/>
        <w:topLinePunct w:val="0"/>
        <w:autoSpaceDE/>
        <w:autoSpaceDN/>
        <w:bidi w:val="0"/>
        <w:spacing w:line="584" w:lineRule="exact"/>
        <w:ind w:firstLine="640" w:firstLineChars="200"/>
        <w:jc w:val="left"/>
        <w:textAlignment w:val="auto"/>
        <w:rPr>
          <w:rFonts w:ascii="楷体_GB2312" w:eastAsia="楷体_GB2312" w:cs="Times New Roman"/>
          <w:b/>
          <w:sz w:val="32"/>
          <w:szCs w:val="32"/>
        </w:rPr>
      </w:pPr>
      <w:r>
        <w:rPr>
          <w:rFonts w:hint="eastAsia" w:ascii="仿宋_GB2312" w:hAnsi="仿宋_GB2312" w:eastAsia="仿宋_GB2312" w:cs="仿宋_GB2312"/>
          <w:bCs/>
          <w:sz w:val="32"/>
          <w:szCs w:val="32"/>
        </w:rPr>
        <w:t>通过重点推进公立医院改革，加强妇幼服务能力建设，扶持我院承担公共卫生项目、设备购置等项目的建设，提高我院服务能力。</w:t>
      </w:r>
    </w:p>
    <w:p>
      <w:pPr>
        <w:keepNext w:val="0"/>
        <w:keepLines w:val="0"/>
        <w:pageBreakBefore w:val="0"/>
        <w:widowControl w:val="0"/>
        <w:kinsoku/>
        <w:wordWrap/>
        <w:topLinePunct w:val="0"/>
        <w:autoSpaceDE/>
        <w:autoSpaceDN/>
        <w:bidi w:val="0"/>
        <w:spacing w:line="584" w:lineRule="exact"/>
        <w:ind w:firstLine="643" w:firstLineChars="200"/>
        <w:textAlignment w:val="auto"/>
        <w:rPr>
          <w:rFonts w:ascii="楷体_GB2312" w:eastAsia="楷体_GB2312" w:cs="Times New Roman"/>
          <w:b/>
          <w:sz w:val="32"/>
          <w:szCs w:val="32"/>
        </w:rPr>
      </w:pPr>
      <w:r>
        <w:rPr>
          <w:rFonts w:hint="eastAsia" w:ascii="楷体_GB2312" w:eastAsia="楷体_GB2312" w:cs="Times New Roman"/>
          <w:b/>
          <w:sz w:val="32"/>
          <w:szCs w:val="32"/>
        </w:rPr>
        <w:t>（二）分项绩效目标</w:t>
      </w:r>
    </w:p>
    <w:p>
      <w:pPr>
        <w:keepNext w:val="0"/>
        <w:keepLines w:val="0"/>
        <w:pageBreakBefore w:val="0"/>
        <w:widowControl w:val="0"/>
        <w:kinsoku/>
        <w:wordWrap/>
        <w:topLinePunct w:val="0"/>
        <w:autoSpaceDE/>
        <w:autoSpaceDN/>
        <w:bidi w:val="0"/>
        <w:spacing w:line="584" w:lineRule="exact"/>
        <w:ind w:firstLine="640" w:firstLineChars="200"/>
        <w:textAlignment w:val="auto"/>
        <w:rPr>
          <w:rFonts w:ascii="仿宋_GB2312" w:eastAsia="仿宋_GB2312" w:cs="Times New Roman"/>
          <w:sz w:val="32"/>
          <w:szCs w:val="32"/>
        </w:rPr>
      </w:pPr>
      <w:r>
        <w:rPr>
          <w:rFonts w:hint="eastAsia" w:ascii="仿宋_GB2312" w:eastAsia="仿宋_GB2312" w:cs="Times New Roman"/>
          <w:sz w:val="32"/>
          <w:szCs w:val="32"/>
        </w:rPr>
        <w:t>通过财政全额人员工资拨款，减轻妇幼人员支出负担</w:t>
      </w:r>
    </w:p>
    <w:p>
      <w:pPr>
        <w:keepNext w:val="0"/>
        <w:keepLines w:val="0"/>
        <w:pageBreakBefore w:val="0"/>
        <w:widowControl w:val="0"/>
        <w:kinsoku/>
        <w:wordWrap/>
        <w:topLinePunct w:val="0"/>
        <w:autoSpaceDE/>
        <w:autoSpaceDN/>
        <w:bidi w:val="0"/>
        <w:spacing w:line="584" w:lineRule="exact"/>
        <w:ind w:firstLine="643" w:firstLineChars="200"/>
        <w:textAlignment w:val="auto"/>
        <w:rPr>
          <w:rFonts w:ascii="楷体_GB2312" w:eastAsia="楷体_GB2312" w:cs="Times New Roman"/>
          <w:b/>
          <w:sz w:val="32"/>
          <w:szCs w:val="32"/>
        </w:rPr>
      </w:pPr>
      <w:r>
        <w:rPr>
          <w:rFonts w:hint="eastAsia" w:ascii="楷体_GB2312" w:eastAsia="楷体_GB2312" w:cs="Times New Roman"/>
          <w:b/>
          <w:sz w:val="32"/>
          <w:szCs w:val="32"/>
        </w:rPr>
        <w:t>（三）工作保障措施</w:t>
      </w:r>
    </w:p>
    <w:p>
      <w:pPr>
        <w:keepNext w:val="0"/>
        <w:keepLines w:val="0"/>
        <w:pageBreakBefore w:val="0"/>
        <w:widowControl w:val="0"/>
        <w:kinsoku/>
        <w:wordWrap/>
        <w:overflowPunct w:val="0"/>
        <w:topLinePunct w:val="0"/>
        <w:autoSpaceDE/>
        <w:autoSpaceDN/>
        <w:bidi w:val="0"/>
        <w:adjustRightInd w:val="0"/>
        <w:snapToGrid w:val="0"/>
        <w:spacing w:afterLines="50" w:line="584" w:lineRule="exact"/>
        <w:ind w:firstLine="627" w:firstLineChars="196"/>
        <w:jc w:val="left"/>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完善预算绩效管理制度、资金管理办法等相关规章制度，印发财务管理手册，加强内部控制建设，为全年预算绩效目标的实现奠定坚实地制度基础</w:t>
      </w:r>
    </w:p>
    <w:p>
      <w:pPr>
        <w:overflowPunct w:val="0"/>
        <w:adjustRightInd w:val="0"/>
        <w:snapToGrid w:val="0"/>
        <w:spacing w:afterLines="50" w:line="580" w:lineRule="exact"/>
        <w:ind w:firstLine="630" w:firstLineChars="196"/>
        <w:jc w:val="left"/>
        <w:rPr>
          <w:rFonts w:hint="eastAsia" w:ascii="楷体_GB2312" w:eastAsia="楷体_GB2312" w:cs="Times New Roman"/>
          <w:b/>
          <w:sz w:val="32"/>
          <w:szCs w:val="32"/>
        </w:rPr>
      </w:pPr>
    </w:p>
    <w:p>
      <w:pPr>
        <w:overflowPunct w:val="0"/>
        <w:adjustRightInd w:val="0"/>
        <w:snapToGrid w:val="0"/>
        <w:spacing w:afterLines="50" w:line="580" w:lineRule="exact"/>
        <w:ind w:firstLine="630" w:firstLineChars="196"/>
        <w:jc w:val="left"/>
        <w:rPr>
          <w:rFonts w:hint="eastAsia" w:ascii="楷体_GB2312" w:eastAsia="楷体_GB2312" w:cs="Times New Roman"/>
          <w:b/>
          <w:sz w:val="32"/>
          <w:szCs w:val="32"/>
        </w:rPr>
      </w:pPr>
    </w:p>
    <w:p>
      <w:pPr>
        <w:overflowPunct w:val="0"/>
        <w:adjustRightInd w:val="0"/>
        <w:snapToGrid w:val="0"/>
        <w:spacing w:afterLines="50" w:line="580" w:lineRule="exact"/>
        <w:ind w:firstLine="630" w:firstLineChars="196"/>
        <w:jc w:val="left"/>
        <w:rPr>
          <w:rFonts w:ascii="楷体_GB2312" w:eastAsia="楷体_GB2312" w:cs="Times New Roman"/>
          <w:b/>
          <w:sz w:val="32"/>
          <w:szCs w:val="32"/>
        </w:rPr>
      </w:pPr>
      <w:r>
        <w:rPr>
          <w:rFonts w:hint="eastAsia" w:ascii="楷体_GB2312" w:eastAsia="楷体_GB2312" w:cs="Times New Roman"/>
          <w:b/>
          <w:sz w:val="32"/>
          <w:szCs w:val="32"/>
        </w:rPr>
        <w:t>（四）</w:t>
      </w:r>
      <w:r>
        <w:rPr>
          <w:rFonts w:hint="eastAsia" w:ascii="楷体_GB2312" w:eastAsia="楷体_GB2312" w:cs="Times New Roman"/>
          <w:b/>
          <w:sz w:val="32"/>
          <w:szCs w:val="32"/>
          <w:lang w:eastAsia="zh-CN"/>
        </w:rPr>
        <w:t>单位</w:t>
      </w:r>
      <w:r>
        <w:rPr>
          <w:rFonts w:hint="eastAsia" w:ascii="楷体_GB2312" w:eastAsia="楷体_GB2312" w:cs="Times New Roman"/>
          <w:b/>
          <w:sz w:val="32"/>
          <w:szCs w:val="32"/>
        </w:rPr>
        <w:t>整体支出绩效指标</w:t>
      </w:r>
    </w:p>
    <w:tbl>
      <w:tblPr>
        <w:tblStyle w:val="1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1" w:type="dxa"/>
          <w:bottom w:w="0" w:type="dxa"/>
          <w:right w:w="11" w:type="dxa"/>
        </w:tblCellMar>
      </w:tblPr>
      <w:tblGrid>
        <w:gridCol w:w="848"/>
        <w:gridCol w:w="1270"/>
        <w:gridCol w:w="1702"/>
        <w:gridCol w:w="3263"/>
        <w:gridCol w:w="2463"/>
        <w:gridCol w:w="824"/>
        <w:gridCol w:w="737"/>
        <w:gridCol w:w="877"/>
        <w:gridCol w:w="1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26" w:hRule="atLeast"/>
          <w:tblHeader/>
          <w:jc w:val="center"/>
        </w:trPr>
        <w:tc>
          <w:tcPr>
            <w:tcW w:w="316" w:type="pct"/>
            <w:vMerge w:val="restar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一级指标</w:t>
            </w:r>
          </w:p>
        </w:tc>
        <w:tc>
          <w:tcPr>
            <w:tcW w:w="467" w:type="pct"/>
            <w:vMerge w:val="restar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二级</w:t>
            </w:r>
          </w:p>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指标</w:t>
            </w:r>
          </w:p>
        </w:tc>
        <w:tc>
          <w:tcPr>
            <w:tcW w:w="508" w:type="pct"/>
            <w:vMerge w:val="restar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三级</w:t>
            </w:r>
          </w:p>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指标</w:t>
            </w:r>
          </w:p>
        </w:tc>
        <w:tc>
          <w:tcPr>
            <w:tcW w:w="1179" w:type="pct"/>
            <w:vMerge w:val="restar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评（扣）分标准</w:t>
            </w:r>
          </w:p>
        </w:tc>
        <w:tc>
          <w:tcPr>
            <w:tcW w:w="893" w:type="pct"/>
            <w:vMerge w:val="restar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绩效指标</w:t>
            </w:r>
          </w:p>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描述</w:t>
            </w:r>
          </w:p>
        </w:tc>
        <w:tc>
          <w:tcPr>
            <w:tcW w:w="909" w:type="pct"/>
            <w:gridSpan w:val="3"/>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指标值</w:t>
            </w:r>
          </w:p>
        </w:tc>
        <w:tc>
          <w:tcPr>
            <w:tcW w:w="724" w:type="pct"/>
            <w:vMerge w:val="restar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指标值</w:t>
            </w:r>
          </w:p>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确定依据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33" w:hRule="atLeast"/>
          <w:tblHeader/>
          <w:jc w:val="center"/>
        </w:trPr>
        <w:tc>
          <w:tcPr>
            <w:tcW w:w="316" w:type="pct"/>
            <w:vMerge w:val="continue"/>
            <w:vAlign w:val="center"/>
          </w:tcPr>
          <w:p>
            <w:pPr>
              <w:rPr>
                <w:sz w:val="21"/>
                <w:szCs w:val="21"/>
              </w:rPr>
            </w:pPr>
          </w:p>
        </w:tc>
        <w:tc>
          <w:tcPr>
            <w:tcW w:w="467" w:type="pct"/>
            <w:vMerge w:val="continue"/>
            <w:vAlign w:val="center"/>
          </w:tcPr>
          <w:p>
            <w:pPr>
              <w:rPr>
                <w:sz w:val="21"/>
                <w:szCs w:val="21"/>
              </w:rPr>
            </w:pPr>
          </w:p>
        </w:tc>
        <w:tc>
          <w:tcPr>
            <w:tcW w:w="508" w:type="pct"/>
            <w:vMerge w:val="continue"/>
            <w:vAlign w:val="center"/>
          </w:tcPr>
          <w:p>
            <w:pPr>
              <w:rPr>
                <w:sz w:val="21"/>
                <w:szCs w:val="21"/>
              </w:rPr>
            </w:pPr>
          </w:p>
        </w:tc>
        <w:tc>
          <w:tcPr>
            <w:tcW w:w="1179" w:type="pct"/>
            <w:vMerge w:val="continue"/>
            <w:vAlign w:val="center"/>
          </w:tcPr>
          <w:p>
            <w:pPr>
              <w:rPr>
                <w:sz w:val="21"/>
                <w:szCs w:val="21"/>
              </w:rPr>
            </w:pPr>
          </w:p>
        </w:tc>
        <w:tc>
          <w:tcPr>
            <w:tcW w:w="893" w:type="pct"/>
            <w:vMerge w:val="continue"/>
            <w:vAlign w:val="center"/>
          </w:tcPr>
          <w:p>
            <w:pPr>
              <w:rPr>
                <w:sz w:val="21"/>
                <w:szCs w:val="21"/>
              </w:rPr>
            </w:pPr>
          </w:p>
        </w:tc>
        <w:tc>
          <w:tcPr>
            <w:tcW w:w="307" w:type="pc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符号</w:t>
            </w:r>
          </w:p>
        </w:tc>
        <w:tc>
          <w:tcPr>
            <w:tcW w:w="276" w:type="pc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值</w:t>
            </w:r>
          </w:p>
        </w:tc>
        <w:tc>
          <w:tcPr>
            <w:tcW w:w="325" w:type="pct"/>
            <w:vAlign w:val="center"/>
          </w:tcPr>
          <w:p>
            <w:pPr>
              <w:widowControl/>
              <w:adjustRightInd w:val="0"/>
              <w:snapToGrid w:val="0"/>
              <w:jc w:val="center"/>
              <w:rPr>
                <w:rFonts w:ascii="方正书宋_GBK" w:eastAsia="方正书宋_GBK"/>
                <w:b/>
                <w:sz w:val="21"/>
                <w:szCs w:val="21"/>
              </w:rPr>
            </w:pPr>
            <w:r>
              <w:rPr>
                <w:rFonts w:hint="eastAsia" w:ascii="方正书宋_GBK" w:eastAsia="方正书宋_GBK"/>
                <w:b/>
                <w:sz w:val="21"/>
                <w:szCs w:val="21"/>
              </w:rPr>
              <w:t>单位</w:t>
            </w:r>
          </w:p>
        </w:tc>
        <w:tc>
          <w:tcPr>
            <w:tcW w:w="724" w:type="pct"/>
            <w:vMerge w:val="continue"/>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94" w:hRule="atLeast"/>
          <w:jc w:val="center"/>
        </w:trPr>
        <w:tc>
          <w:tcPr>
            <w:tcW w:w="316" w:type="pct"/>
            <w:vMerge w:val="restar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lang w:eastAsia="zh-CN"/>
              </w:rPr>
              <w:t>单位</w:t>
            </w:r>
            <w:r>
              <w:rPr>
                <w:rFonts w:hint="eastAsia" w:ascii="仿宋" w:hAnsi="仿宋" w:eastAsia="仿宋" w:cs="仿宋"/>
                <w:sz w:val="21"/>
                <w:szCs w:val="21"/>
              </w:rPr>
              <w:t>产出</w:t>
            </w: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数量</w:t>
            </w:r>
          </w:p>
        </w:tc>
        <w:tc>
          <w:tcPr>
            <w:tcW w:w="508"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人员工资</w:t>
            </w:r>
          </w:p>
        </w:tc>
        <w:tc>
          <w:tcPr>
            <w:tcW w:w="1179"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按时拨付得满分，延时拨付超过一个月扣1分</w:t>
            </w:r>
          </w:p>
        </w:tc>
        <w:tc>
          <w:tcPr>
            <w:tcW w:w="893"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考察支出发放时间</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316" w:type="pct"/>
            <w:vMerge w:val="continue"/>
            <w:vAlign w:val="center"/>
          </w:tcPr>
          <w:p>
            <w:pPr>
              <w:rPr>
                <w:rFonts w:hint="eastAsia" w:ascii="仿宋" w:hAnsi="仿宋" w:eastAsia="仿宋" w:cs="仿宋"/>
                <w:sz w:val="21"/>
                <w:szCs w:val="21"/>
              </w:rPr>
            </w:pP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质量</w:t>
            </w:r>
          </w:p>
        </w:tc>
        <w:tc>
          <w:tcPr>
            <w:tcW w:w="508"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工资发放利率</w:t>
            </w:r>
          </w:p>
        </w:tc>
        <w:tc>
          <w:tcPr>
            <w:tcW w:w="1179"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按时拨付得满分，延时拨付超过一个月扣1分</w:t>
            </w:r>
          </w:p>
        </w:tc>
        <w:tc>
          <w:tcPr>
            <w:tcW w:w="893"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考察支出发放时间</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458" w:hRule="atLeast"/>
          <w:jc w:val="center"/>
        </w:trPr>
        <w:tc>
          <w:tcPr>
            <w:tcW w:w="316" w:type="pct"/>
            <w:vMerge w:val="continue"/>
            <w:vAlign w:val="center"/>
          </w:tcPr>
          <w:p>
            <w:pPr>
              <w:rPr>
                <w:rFonts w:hint="eastAsia" w:ascii="仿宋" w:hAnsi="仿宋" w:eastAsia="仿宋" w:cs="仿宋"/>
                <w:sz w:val="21"/>
                <w:szCs w:val="21"/>
              </w:rPr>
            </w:pP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时效</w:t>
            </w:r>
          </w:p>
        </w:tc>
        <w:tc>
          <w:tcPr>
            <w:tcW w:w="508"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发放及时性</w:t>
            </w:r>
          </w:p>
        </w:tc>
        <w:tc>
          <w:tcPr>
            <w:tcW w:w="1179"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按时拨付得满分，延时拨付超过一个月扣1分</w:t>
            </w:r>
          </w:p>
        </w:tc>
        <w:tc>
          <w:tcPr>
            <w:tcW w:w="893"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察支出发放时间</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316" w:type="pct"/>
            <w:vMerge w:val="continue"/>
            <w:vAlign w:val="center"/>
          </w:tcPr>
          <w:p>
            <w:pPr>
              <w:rPr>
                <w:rFonts w:hint="eastAsia" w:ascii="仿宋" w:hAnsi="仿宋" w:eastAsia="仿宋" w:cs="仿宋"/>
                <w:sz w:val="21"/>
                <w:szCs w:val="21"/>
              </w:rPr>
            </w:pP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成本</w:t>
            </w:r>
          </w:p>
        </w:tc>
        <w:tc>
          <w:tcPr>
            <w:tcW w:w="508"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人员工资调整请况</w:t>
            </w:r>
          </w:p>
        </w:tc>
        <w:tc>
          <w:tcPr>
            <w:tcW w:w="1179"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工资调整及时得满分，不及时一个月扣1分</w:t>
            </w:r>
          </w:p>
        </w:tc>
        <w:tc>
          <w:tcPr>
            <w:tcW w:w="893"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调整工资、绩效</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316" w:type="pct"/>
            <w:vMerge w:val="restart"/>
            <w:vAlign w:val="center"/>
          </w:tcPr>
          <w:p>
            <w:pPr>
              <w:adjustRightInd w:val="0"/>
              <w:snapToGrid w:val="0"/>
              <w:jc w:val="center"/>
              <w:rPr>
                <w:rFonts w:hint="eastAsia" w:ascii="仿宋" w:hAnsi="仿宋" w:eastAsia="仿宋" w:cs="仿宋"/>
                <w:sz w:val="21"/>
                <w:szCs w:val="21"/>
              </w:rPr>
            </w:pPr>
            <w:r>
              <w:rPr>
                <w:rFonts w:hint="eastAsia" w:ascii="仿宋" w:hAnsi="仿宋" w:eastAsia="仿宋" w:cs="仿宋"/>
                <w:sz w:val="21"/>
                <w:szCs w:val="21"/>
                <w:lang w:eastAsia="zh-CN"/>
              </w:rPr>
              <w:t>单位</w:t>
            </w:r>
            <w:r>
              <w:rPr>
                <w:rFonts w:hint="eastAsia" w:ascii="仿宋" w:hAnsi="仿宋" w:eastAsia="仿宋" w:cs="仿宋"/>
                <w:sz w:val="21"/>
                <w:szCs w:val="21"/>
              </w:rPr>
              <w:t>效果</w:t>
            </w: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社会</w:t>
            </w:r>
          </w:p>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效益</w:t>
            </w:r>
          </w:p>
        </w:tc>
        <w:tc>
          <w:tcPr>
            <w:tcW w:w="508"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提高职工福利</w:t>
            </w:r>
          </w:p>
        </w:tc>
        <w:tc>
          <w:tcPr>
            <w:tcW w:w="1179"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完成面对效益得满分</w:t>
            </w:r>
          </w:p>
        </w:tc>
        <w:tc>
          <w:tcPr>
            <w:tcW w:w="893"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工资支出</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316" w:type="pct"/>
            <w:vMerge w:val="continue"/>
            <w:vAlign w:val="center"/>
          </w:tcPr>
          <w:p>
            <w:pPr>
              <w:rPr>
                <w:rFonts w:hint="eastAsia" w:ascii="仿宋" w:hAnsi="仿宋" w:eastAsia="仿宋" w:cs="仿宋"/>
                <w:sz w:val="21"/>
                <w:szCs w:val="21"/>
              </w:rPr>
            </w:pP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经济</w:t>
            </w:r>
          </w:p>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效益</w:t>
            </w:r>
          </w:p>
        </w:tc>
        <w:tc>
          <w:tcPr>
            <w:tcW w:w="508"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减轻医院经济负担</w:t>
            </w:r>
          </w:p>
        </w:tc>
        <w:tc>
          <w:tcPr>
            <w:tcW w:w="1179"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完成经济效益得满分</w:t>
            </w:r>
          </w:p>
        </w:tc>
        <w:tc>
          <w:tcPr>
            <w:tcW w:w="893"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工资支出</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316" w:type="pct"/>
            <w:vMerge w:val="continue"/>
            <w:vAlign w:val="center"/>
          </w:tcPr>
          <w:p>
            <w:pPr>
              <w:rPr>
                <w:rFonts w:hint="eastAsia" w:ascii="仿宋" w:hAnsi="仿宋" w:eastAsia="仿宋" w:cs="仿宋"/>
                <w:sz w:val="21"/>
                <w:szCs w:val="21"/>
              </w:rPr>
            </w:pP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生态</w:t>
            </w:r>
          </w:p>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效益</w:t>
            </w:r>
          </w:p>
        </w:tc>
        <w:tc>
          <w:tcPr>
            <w:tcW w:w="508"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减轻医院经济负担</w:t>
            </w:r>
          </w:p>
        </w:tc>
        <w:tc>
          <w:tcPr>
            <w:tcW w:w="1179"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完成经济效益得满分</w:t>
            </w:r>
          </w:p>
        </w:tc>
        <w:tc>
          <w:tcPr>
            <w:tcW w:w="893"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工资支出</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770" w:hRule="atLeast"/>
          <w:jc w:val="center"/>
        </w:trPr>
        <w:tc>
          <w:tcPr>
            <w:tcW w:w="316" w:type="pct"/>
            <w:vMerge w:val="continue"/>
            <w:vAlign w:val="center"/>
          </w:tcPr>
          <w:p>
            <w:pPr>
              <w:rPr>
                <w:rFonts w:hint="eastAsia" w:ascii="仿宋" w:hAnsi="仿宋" w:eastAsia="仿宋" w:cs="仿宋"/>
                <w:sz w:val="21"/>
                <w:szCs w:val="21"/>
              </w:rPr>
            </w:pPr>
          </w:p>
        </w:tc>
        <w:tc>
          <w:tcPr>
            <w:tcW w:w="467" w:type="pct"/>
            <w:vAlign w:val="center"/>
          </w:tcPr>
          <w:p>
            <w:pPr>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可持续影响</w:t>
            </w:r>
          </w:p>
        </w:tc>
        <w:tc>
          <w:tcPr>
            <w:tcW w:w="508" w:type="pct"/>
            <w:noWrap/>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减轻医院经济负担</w:t>
            </w:r>
          </w:p>
        </w:tc>
        <w:tc>
          <w:tcPr>
            <w:tcW w:w="1179" w:type="pct"/>
            <w:noWrap/>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完成经济效益得满分</w:t>
            </w:r>
          </w:p>
        </w:tc>
        <w:tc>
          <w:tcPr>
            <w:tcW w:w="893" w:type="pct"/>
            <w:noWrap/>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工资支出</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04" w:hRule="atLeast"/>
          <w:jc w:val="center"/>
        </w:trPr>
        <w:tc>
          <w:tcPr>
            <w:tcW w:w="316" w:type="pct"/>
            <w:vMerge w:val="continue"/>
            <w:vAlign w:val="center"/>
          </w:tcPr>
          <w:p>
            <w:pPr>
              <w:rPr>
                <w:rFonts w:hint="eastAsia" w:ascii="仿宋" w:hAnsi="仿宋" w:eastAsia="仿宋" w:cs="仿宋"/>
                <w:sz w:val="21"/>
                <w:szCs w:val="21"/>
              </w:rPr>
            </w:pPr>
          </w:p>
        </w:tc>
        <w:tc>
          <w:tcPr>
            <w:tcW w:w="467" w:type="pct"/>
            <w:vAlign w:val="center"/>
          </w:tcPr>
          <w:p>
            <w:pPr>
              <w:widowControl/>
              <w:adjustRightInd w:val="0"/>
              <w:snapToGrid w:val="0"/>
              <w:jc w:val="center"/>
              <w:rPr>
                <w:rFonts w:hint="eastAsia" w:ascii="仿宋" w:hAnsi="仿宋" w:eastAsia="仿宋" w:cs="仿宋"/>
                <w:sz w:val="21"/>
                <w:szCs w:val="21"/>
              </w:rPr>
            </w:pPr>
            <w:r>
              <w:rPr>
                <w:rFonts w:hint="eastAsia" w:ascii="仿宋" w:hAnsi="仿宋" w:eastAsia="仿宋" w:cs="仿宋"/>
                <w:sz w:val="21"/>
                <w:szCs w:val="21"/>
              </w:rPr>
              <w:t>满意度</w:t>
            </w:r>
          </w:p>
        </w:tc>
        <w:tc>
          <w:tcPr>
            <w:tcW w:w="508" w:type="pct"/>
            <w:noWrap/>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提升职工满意度</w:t>
            </w:r>
          </w:p>
        </w:tc>
        <w:tc>
          <w:tcPr>
            <w:tcW w:w="1179" w:type="pct"/>
            <w:noWrap/>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按时发放的满分</w:t>
            </w:r>
          </w:p>
        </w:tc>
        <w:tc>
          <w:tcPr>
            <w:tcW w:w="893" w:type="pct"/>
            <w:noWrap/>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工资支出</w:t>
            </w:r>
          </w:p>
        </w:tc>
        <w:tc>
          <w:tcPr>
            <w:tcW w:w="307"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w:t>
            </w:r>
          </w:p>
        </w:tc>
        <w:tc>
          <w:tcPr>
            <w:tcW w:w="276"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253.79</w:t>
            </w:r>
          </w:p>
        </w:tc>
        <w:tc>
          <w:tcPr>
            <w:tcW w:w="325" w:type="pct"/>
            <w:vAlign w:val="center"/>
          </w:tcPr>
          <w:p>
            <w:pPr>
              <w:widowControl/>
              <w:adjustRightInd w:val="0"/>
              <w:snapToGrid w:val="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w:t>
            </w:r>
          </w:p>
        </w:tc>
        <w:tc>
          <w:tcPr>
            <w:tcW w:w="724" w:type="pct"/>
            <w:vAlign w:val="center"/>
          </w:tcPr>
          <w:p>
            <w:pPr>
              <w:widowControl/>
              <w:adjustRightInd w:val="0"/>
              <w:snapToGrid w:val="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工资表</w:t>
            </w:r>
          </w:p>
        </w:tc>
      </w:tr>
    </w:tbl>
    <w:p>
      <w:pPr>
        <w:spacing w:line="584" w:lineRule="exact"/>
        <w:rPr>
          <w:rFonts w:ascii="仿宋_GB2312" w:eastAsia="仿宋_GB2312" w:cs="Times New Roman"/>
          <w:sz w:val="21"/>
          <w:szCs w:val="21"/>
        </w:rPr>
      </w:pPr>
    </w:p>
    <w:p>
      <w:pPr>
        <w:spacing w:line="584"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第二部分</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rPr>
        <w:t>资金绩效目标</w:t>
      </w:r>
    </w:p>
    <w:p>
      <w:pPr>
        <w:autoSpaceDE w:val="0"/>
        <w:autoSpaceDN w:val="0"/>
        <w:adjustRightInd w:val="0"/>
        <w:spacing w:line="584" w:lineRule="exact"/>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无</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sz w:val="32"/>
          <w:szCs w:val="32"/>
        </w:rPr>
      </w:pPr>
      <w:bookmarkStart w:id="0" w:name="_Toc471398468"/>
      <w:r>
        <w:rPr>
          <w:rFonts w:ascii="Times New Roman" w:hAnsi="Times New Roman" w:eastAsia="仿宋_GB2312" w:cs="Times New Roman"/>
          <w:sz w:val="32"/>
          <w:szCs w:val="32"/>
        </w:rPr>
        <w:t>2022</w:t>
      </w:r>
      <w:r>
        <w:rPr>
          <w:rFonts w:hint="eastAsia" w:ascii="Times New Roman" w:hAnsi="Times New Roman" w:eastAsia="仿宋_GB2312" w:cs="Times New Roman"/>
          <w:sz w:val="32"/>
          <w:szCs w:val="32"/>
        </w:rPr>
        <w:t>年，我</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安排政府采购预算</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万元。具体内容见下表。</w:t>
      </w:r>
    </w:p>
    <w:bookmarkEnd w:id="0"/>
    <w:p>
      <w:pPr>
        <w:jc w:val="center"/>
        <w:outlineLvl w:val="1"/>
        <w:rPr>
          <w:rFonts w:ascii="Times New Roman" w:hAnsi="Times New Roman" w:cs="Times New Roman"/>
          <w:b/>
          <w:bCs/>
          <w:sz w:val="32"/>
          <w:szCs w:val="32"/>
        </w:rPr>
      </w:pPr>
      <w:bookmarkStart w:id="1" w:name="_Toc64920910"/>
      <w:r>
        <w:rPr>
          <w:rFonts w:hint="eastAsia" w:ascii="方正小标宋_GBK" w:eastAsia="方正小标宋_GBK" w:cs="Times New Roman"/>
          <w:b/>
          <w:bCs/>
          <w:sz w:val="32"/>
          <w:szCs w:val="32"/>
          <w:lang w:eastAsia="zh-CN"/>
        </w:rPr>
        <w:t>单位</w:t>
      </w:r>
      <w:r>
        <w:rPr>
          <w:rFonts w:hint="eastAsia" w:ascii="方正小标宋_GBK" w:eastAsia="方正小标宋_GBK" w:cs="Times New Roman"/>
          <w:b/>
          <w:bCs/>
          <w:sz w:val="32"/>
          <w:szCs w:val="32"/>
        </w:rPr>
        <w:t>政府采购预算</w:t>
      </w:r>
      <w:bookmarkEnd w:id="1"/>
    </w:p>
    <w:p>
      <w:pPr>
        <w:outlineLvl w:val="1"/>
        <w:rPr>
          <w:rFonts w:ascii="方正小标宋_GBK" w:eastAsia="方正小标宋_GBK" w:cs="Times New Roman"/>
          <w:sz w:val="32"/>
        </w:rPr>
      </w:pPr>
      <w:r>
        <w:t>廊坊市</w:t>
      </w:r>
      <w:r>
        <w:rPr>
          <w:rFonts w:hint="eastAsia"/>
          <w:lang w:eastAsia="zh-CN"/>
        </w:rPr>
        <w:t>广阳区妇幼保健院</w:t>
      </w:r>
      <w:r>
        <w:t xml:space="preserve">                                                                                            单位：万元</w:t>
      </w:r>
    </w:p>
    <w:tbl>
      <w:tblPr>
        <w:tblStyle w:val="10"/>
        <w:tblW w:w="4998"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006"/>
        <w:gridCol w:w="886"/>
        <w:gridCol w:w="1040"/>
        <w:gridCol w:w="1040"/>
        <w:gridCol w:w="649"/>
        <w:gridCol w:w="780"/>
        <w:gridCol w:w="780"/>
        <w:gridCol w:w="885"/>
        <w:gridCol w:w="885"/>
        <w:gridCol w:w="885"/>
        <w:gridCol w:w="885"/>
        <w:gridCol w:w="885"/>
        <w:gridCol w:w="885"/>
        <w:gridCol w:w="885"/>
        <w:gridCol w:w="907"/>
        <w:gridCol w:w="88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668" w:type="pct"/>
            <w:gridSpan w:val="2"/>
            <w:vAlign w:val="center"/>
          </w:tcPr>
          <w:p>
            <w:pPr>
              <w:pStyle w:val="20"/>
              <w:rPr>
                <w:sz w:val="24"/>
                <w:szCs w:val="32"/>
              </w:rPr>
            </w:pPr>
            <w:r>
              <w:rPr>
                <w:sz w:val="24"/>
                <w:szCs w:val="32"/>
              </w:rPr>
              <w:t>政府采购项目来源</w:t>
            </w:r>
          </w:p>
        </w:tc>
        <w:tc>
          <w:tcPr>
            <w:tcW w:w="367" w:type="pct"/>
            <w:vMerge w:val="restart"/>
            <w:vAlign w:val="center"/>
          </w:tcPr>
          <w:p>
            <w:pPr>
              <w:pStyle w:val="20"/>
              <w:rPr>
                <w:sz w:val="24"/>
                <w:szCs w:val="32"/>
              </w:rPr>
            </w:pPr>
            <w:r>
              <w:rPr>
                <w:sz w:val="24"/>
                <w:szCs w:val="32"/>
              </w:rPr>
              <w:t>采购物品名称</w:t>
            </w:r>
          </w:p>
        </w:tc>
        <w:tc>
          <w:tcPr>
            <w:tcW w:w="367" w:type="pct"/>
            <w:vMerge w:val="restart"/>
            <w:vAlign w:val="center"/>
          </w:tcPr>
          <w:p>
            <w:pPr>
              <w:pStyle w:val="20"/>
              <w:rPr>
                <w:sz w:val="24"/>
                <w:szCs w:val="32"/>
              </w:rPr>
            </w:pPr>
            <w:r>
              <w:rPr>
                <w:sz w:val="24"/>
                <w:szCs w:val="32"/>
              </w:rPr>
              <w:t>政府采购目录序号</w:t>
            </w:r>
          </w:p>
        </w:tc>
        <w:tc>
          <w:tcPr>
            <w:tcW w:w="229" w:type="pct"/>
            <w:vMerge w:val="restart"/>
            <w:vAlign w:val="center"/>
          </w:tcPr>
          <w:p>
            <w:pPr>
              <w:pStyle w:val="20"/>
              <w:rPr>
                <w:sz w:val="24"/>
                <w:szCs w:val="32"/>
              </w:rPr>
            </w:pPr>
            <w:r>
              <w:rPr>
                <w:sz w:val="24"/>
                <w:szCs w:val="32"/>
              </w:rPr>
              <w:t>计量  单位</w:t>
            </w:r>
          </w:p>
        </w:tc>
        <w:tc>
          <w:tcPr>
            <w:tcW w:w="275" w:type="pct"/>
            <w:vMerge w:val="restart"/>
            <w:vAlign w:val="center"/>
          </w:tcPr>
          <w:p>
            <w:pPr>
              <w:pStyle w:val="20"/>
              <w:rPr>
                <w:sz w:val="24"/>
                <w:szCs w:val="32"/>
              </w:rPr>
            </w:pPr>
            <w:r>
              <w:rPr>
                <w:sz w:val="24"/>
                <w:szCs w:val="32"/>
              </w:rPr>
              <w:t>数量</w:t>
            </w:r>
          </w:p>
        </w:tc>
        <w:tc>
          <w:tcPr>
            <w:tcW w:w="275" w:type="pct"/>
            <w:vMerge w:val="restart"/>
            <w:vAlign w:val="center"/>
          </w:tcPr>
          <w:p>
            <w:pPr>
              <w:pStyle w:val="20"/>
              <w:rPr>
                <w:sz w:val="24"/>
                <w:szCs w:val="32"/>
              </w:rPr>
            </w:pPr>
            <w:r>
              <w:rPr>
                <w:sz w:val="24"/>
                <w:szCs w:val="32"/>
              </w:rPr>
              <w:t>单价</w:t>
            </w:r>
          </w:p>
        </w:tc>
        <w:tc>
          <w:tcPr>
            <w:tcW w:w="2504" w:type="pct"/>
            <w:gridSpan w:val="8"/>
            <w:vAlign w:val="center"/>
          </w:tcPr>
          <w:p>
            <w:pPr>
              <w:pStyle w:val="20"/>
              <w:rPr>
                <w:sz w:val="24"/>
                <w:szCs w:val="32"/>
              </w:rPr>
            </w:pPr>
            <w:r>
              <w:rPr>
                <w:sz w:val="24"/>
                <w:szCs w:val="32"/>
              </w:rPr>
              <w:t>政府采购金额（当年</w:t>
            </w:r>
            <w:r>
              <w:rPr>
                <w:rFonts w:hint="eastAsia"/>
                <w:sz w:val="24"/>
                <w:szCs w:val="32"/>
                <w:lang w:eastAsia="zh-CN"/>
              </w:rPr>
              <w:t>单位</w:t>
            </w:r>
            <w:r>
              <w:rPr>
                <w:sz w:val="24"/>
                <w:szCs w:val="32"/>
              </w:rPr>
              <w:t>预算安排资金）</w:t>
            </w:r>
          </w:p>
        </w:tc>
        <w:tc>
          <w:tcPr>
            <w:tcW w:w="312" w:type="pct"/>
            <w:vMerge w:val="restart"/>
            <w:vAlign w:val="center"/>
          </w:tcPr>
          <w:p>
            <w:pPr>
              <w:pStyle w:val="20"/>
              <w:rPr>
                <w:sz w:val="24"/>
                <w:szCs w:val="32"/>
              </w:rPr>
            </w:pPr>
            <w:r>
              <w:rPr>
                <w:sz w:val="24"/>
                <w:szCs w:val="32"/>
              </w:rP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355" w:type="pct"/>
            <w:vAlign w:val="center"/>
          </w:tcPr>
          <w:p>
            <w:pPr>
              <w:pStyle w:val="20"/>
              <w:rPr>
                <w:sz w:val="24"/>
                <w:szCs w:val="32"/>
              </w:rPr>
            </w:pPr>
            <w:r>
              <w:rPr>
                <w:sz w:val="24"/>
                <w:szCs w:val="32"/>
              </w:rPr>
              <w:t>项目名称</w:t>
            </w:r>
          </w:p>
        </w:tc>
        <w:tc>
          <w:tcPr>
            <w:tcW w:w="313" w:type="pct"/>
            <w:vAlign w:val="center"/>
          </w:tcPr>
          <w:p>
            <w:pPr>
              <w:pStyle w:val="20"/>
              <w:rPr>
                <w:sz w:val="24"/>
                <w:szCs w:val="32"/>
              </w:rPr>
            </w:pPr>
            <w:r>
              <w:rPr>
                <w:sz w:val="24"/>
                <w:szCs w:val="32"/>
              </w:rPr>
              <w:t>预算    资金</w:t>
            </w:r>
          </w:p>
        </w:tc>
        <w:tc>
          <w:tcPr>
            <w:tcW w:w="367" w:type="pct"/>
            <w:vMerge w:val="continue"/>
          </w:tcPr>
          <w:p>
            <w:pPr>
              <w:rPr>
                <w:sz w:val="24"/>
                <w:szCs w:val="28"/>
              </w:rPr>
            </w:pPr>
          </w:p>
        </w:tc>
        <w:tc>
          <w:tcPr>
            <w:tcW w:w="367" w:type="pct"/>
            <w:vMerge w:val="continue"/>
          </w:tcPr>
          <w:p>
            <w:pPr>
              <w:rPr>
                <w:sz w:val="24"/>
                <w:szCs w:val="28"/>
              </w:rPr>
            </w:pPr>
          </w:p>
        </w:tc>
        <w:tc>
          <w:tcPr>
            <w:tcW w:w="229" w:type="pct"/>
            <w:vMerge w:val="continue"/>
          </w:tcPr>
          <w:p>
            <w:pPr>
              <w:rPr>
                <w:sz w:val="24"/>
                <w:szCs w:val="28"/>
              </w:rPr>
            </w:pPr>
          </w:p>
        </w:tc>
        <w:tc>
          <w:tcPr>
            <w:tcW w:w="275" w:type="pct"/>
            <w:vMerge w:val="continue"/>
          </w:tcPr>
          <w:p>
            <w:pPr>
              <w:rPr>
                <w:sz w:val="24"/>
                <w:szCs w:val="28"/>
              </w:rPr>
            </w:pPr>
          </w:p>
        </w:tc>
        <w:tc>
          <w:tcPr>
            <w:tcW w:w="275" w:type="pct"/>
            <w:vMerge w:val="continue"/>
          </w:tcPr>
          <w:p>
            <w:pPr>
              <w:rPr>
                <w:sz w:val="24"/>
                <w:szCs w:val="28"/>
              </w:rPr>
            </w:pPr>
          </w:p>
        </w:tc>
        <w:tc>
          <w:tcPr>
            <w:tcW w:w="312" w:type="pct"/>
            <w:vAlign w:val="center"/>
          </w:tcPr>
          <w:p>
            <w:pPr>
              <w:pStyle w:val="20"/>
              <w:rPr>
                <w:sz w:val="24"/>
                <w:szCs w:val="32"/>
              </w:rPr>
            </w:pPr>
            <w:r>
              <w:rPr>
                <w:sz w:val="24"/>
                <w:szCs w:val="32"/>
              </w:rPr>
              <w:t>合计</w:t>
            </w:r>
          </w:p>
        </w:tc>
        <w:tc>
          <w:tcPr>
            <w:tcW w:w="312" w:type="pct"/>
            <w:vAlign w:val="center"/>
          </w:tcPr>
          <w:p>
            <w:pPr>
              <w:pStyle w:val="20"/>
              <w:rPr>
                <w:sz w:val="24"/>
                <w:szCs w:val="32"/>
              </w:rPr>
            </w:pPr>
            <w:r>
              <w:rPr>
                <w:sz w:val="24"/>
                <w:szCs w:val="32"/>
              </w:rPr>
              <w:t>一般公共预算拨款</w:t>
            </w:r>
          </w:p>
        </w:tc>
        <w:tc>
          <w:tcPr>
            <w:tcW w:w="312" w:type="pct"/>
            <w:vAlign w:val="center"/>
          </w:tcPr>
          <w:p>
            <w:pPr>
              <w:pStyle w:val="20"/>
              <w:rPr>
                <w:sz w:val="24"/>
                <w:szCs w:val="32"/>
              </w:rPr>
            </w:pPr>
            <w:r>
              <w:rPr>
                <w:sz w:val="24"/>
                <w:szCs w:val="32"/>
              </w:rPr>
              <w:t>基金预算拨款</w:t>
            </w:r>
          </w:p>
        </w:tc>
        <w:tc>
          <w:tcPr>
            <w:tcW w:w="312" w:type="pct"/>
            <w:vAlign w:val="center"/>
          </w:tcPr>
          <w:p>
            <w:pPr>
              <w:pStyle w:val="20"/>
              <w:rPr>
                <w:sz w:val="24"/>
                <w:szCs w:val="32"/>
              </w:rPr>
            </w:pPr>
            <w:r>
              <w:rPr>
                <w:sz w:val="24"/>
                <w:szCs w:val="32"/>
              </w:rPr>
              <w:t>国有资本经营预算拨款</w:t>
            </w:r>
          </w:p>
        </w:tc>
        <w:tc>
          <w:tcPr>
            <w:tcW w:w="312" w:type="pct"/>
            <w:vAlign w:val="center"/>
          </w:tcPr>
          <w:p>
            <w:pPr>
              <w:pStyle w:val="20"/>
              <w:rPr>
                <w:sz w:val="24"/>
                <w:szCs w:val="32"/>
              </w:rPr>
            </w:pPr>
            <w:r>
              <w:rPr>
                <w:sz w:val="24"/>
                <w:szCs w:val="32"/>
              </w:rPr>
              <w:t>财政专户核拨</w:t>
            </w:r>
          </w:p>
        </w:tc>
        <w:tc>
          <w:tcPr>
            <w:tcW w:w="312" w:type="pct"/>
            <w:vAlign w:val="center"/>
          </w:tcPr>
          <w:p>
            <w:pPr>
              <w:pStyle w:val="20"/>
              <w:rPr>
                <w:sz w:val="24"/>
                <w:szCs w:val="32"/>
              </w:rPr>
            </w:pPr>
            <w:r>
              <w:rPr>
                <w:sz w:val="24"/>
                <w:szCs w:val="32"/>
              </w:rPr>
              <w:t>单位    资金</w:t>
            </w:r>
          </w:p>
        </w:tc>
        <w:tc>
          <w:tcPr>
            <w:tcW w:w="312" w:type="pct"/>
            <w:vAlign w:val="center"/>
          </w:tcPr>
          <w:p>
            <w:pPr>
              <w:pStyle w:val="20"/>
              <w:rPr>
                <w:sz w:val="24"/>
                <w:szCs w:val="32"/>
              </w:rPr>
            </w:pPr>
            <w:r>
              <w:rPr>
                <w:sz w:val="24"/>
                <w:szCs w:val="32"/>
              </w:rPr>
              <w:t>财政拨    款结转</w:t>
            </w:r>
          </w:p>
        </w:tc>
        <w:tc>
          <w:tcPr>
            <w:tcW w:w="318" w:type="pct"/>
            <w:vAlign w:val="center"/>
          </w:tcPr>
          <w:p>
            <w:pPr>
              <w:pStyle w:val="20"/>
              <w:rPr>
                <w:sz w:val="24"/>
                <w:szCs w:val="32"/>
              </w:rPr>
            </w:pPr>
            <w:r>
              <w:rPr>
                <w:sz w:val="24"/>
                <w:szCs w:val="32"/>
              </w:rPr>
              <w:t>非财政    拨款结    转结余</w:t>
            </w:r>
          </w:p>
        </w:tc>
        <w:tc>
          <w:tcPr>
            <w:tcW w:w="312" w:type="pct"/>
            <w:vMerge w:val="continue"/>
          </w:tcPr>
          <w:p>
            <w:pPr>
              <w:rPr>
                <w:sz w:val="24"/>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355" w:type="pct"/>
            <w:vAlign w:val="center"/>
          </w:tcPr>
          <w:p>
            <w:pPr>
              <w:pStyle w:val="21"/>
              <w:rPr>
                <w:sz w:val="24"/>
                <w:szCs w:val="32"/>
              </w:rPr>
            </w:pPr>
            <w:r>
              <w:rPr>
                <w:sz w:val="24"/>
                <w:szCs w:val="32"/>
              </w:rPr>
              <w:t>合  计</w:t>
            </w:r>
          </w:p>
        </w:tc>
        <w:tc>
          <w:tcPr>
            <w:tcW w:w="313" w:type="pct"/>
            <w:vAlign w:val="center"/>
          </w:tcPr>
          <w:p>
            <w:pPr>
              <w:pStyle w:val="22"/>
              <w:rPr>
                <w:sz w:val="24"/>
                <w:szCs w:val="32"/>
              </w:rPr>
            </w:pPr>
          </w:p>
        </w:tc>
        <w:tc>
          <w:tcPr>
            <w:tcW w:w="367" w:type="pct"/>
            <w:vAlign w:val="center"/>
          </w:tcPr>
          <w:p>
            <w:pPr>
              <w:pStyle w:val="23"/>
              <w:rPr>
                <w:sz w:val="24"/>
                <w:szCs w:val="32"/>
              </w:rPr>
            </w:pPr>
          </w:p>
        </w:tc>
        <w:tc>
          <w:tcPr>
            <w:tcW w:w="367" w:type="pct"/>
            <w:vAlign w:val="center"/>
          </w:tcPr>
          <w:p>
            <w:pPr>
              <w:pStyle w:val="23"/>
              <w:rPr>
                <w:sz w:val="24"/>
                <w:szCs w:val="32"/>
              </w:rPr>
            </w:pPr>
          </w:p>
        </w:tc>
        <w:tc>
          <w:tcPr>
            <w:tcW w:w="229" w:type="pct"/>
            <w:vAlign w:val="center"/>
          </w:tcPr>
          <w:p>
            <w:pPr>
              <w:pStyle w:val="21"/>
              <w:rPr>
                <w:sz w:val="24"/>
                <w:szCs w:val="32"/>
              </w:rPr>
            </w:pPr>
          </w:p>
        </w:tc>
        <w:tc>
          <w:tcPr>
            <w:tcW w:w="275" w:type="pct"/>
            <w:vAlign w:val="center"/>
          </w:tcPr>
          <w:p>
            <w:pPr>
              <w:pStyle w:val="22"/>
              <w:rPr>
                <w:sz w:val="24"/>
                <w:szCs w:val="32"/>
              </w:rPr>
            </w:pPr>
          </w:p>
        </w:tc>
        <w:tc>
          <w:tcPr>
            <w:tcW w:w="275"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8" w:type="pct"/>
            <w:vAlign w:val="center"/>
          </w:tcPr>
          <w:p>
            <w:pPr>
              <w:pStyle w:val="22"/>
              <w:rPr>
                <w:sz w:val="24"/>
                <w:szCs w:val="32"/>
              </w:rPr>
            </w:pPr>
          </w:p>
        </w:tc>
        <w:tc>
          <w:tcPr>
            <w:tcW w:w="312" w:type="pct"/>
            <w:vAlign w:val="center"/>
          </w:tcPr>
          <w:p>
            <w:pPr>
              <w:pStyle w:val="22"/>
              <w:rPr>
                <w:sz w:val="24"/>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355" w:type="pct"/>
            <w:vAlign w:val="center"/>
          </w:tcPr>
          <w:p>
            <w:pPr>
              <w:pStyle w:val="21"/>
              <w:rPr>
                <w:sz w:val="24"/>
                <w:szCs w:val="32"/>
              </w:rPr>
            </w:pPr>
          </w:p>
        </w:tc>
        <w:tc>
          <w:tcPr>
            <w:tcW w:w="313" w:type="pct"/>
            <w:vAlign w:val="center"/>
          </w:tcPr>
          <w:p>
            <w:pPr>
              <w:pStyle w:val="22"/>
              <w:rPr>
                <w:sz w:val="24"/>
                <w:szCs w:val="32"/>
              </w:rPr>
            </w:pPr>
          </w:p>
        </w:tc>
        <w:tc>
          <w:tcPr>
            <w:tcW w:w="367" w:type="pct"/>
            <w:vAlign w:val="center"/>
          </w:tcPr>
          <w:p>
            <w:pPr>
              <w:pStyle w:val="23"/>
              <w:rPr>
                <w:sz w:val="24"/>
                <w:szCs w:val="32"/>
              </w:rPr>
            </w:pPr>
          </w:p>
        </w:tc>
        <w:tc>
          <w:tcPr>
            <w:tcW w:w="367" w:type="pct"/>
            <w:vAlign w:val="center"/>
          </w:tcPr>
          <w:p>
            <w:pPr>
              <w:pStyle w:val="23"/>
              <w:rPr>
                <w:sz w:val="24"/>
                <w:szCs w:val="32"/>
              </w:rPr>
            </w:pPr>
          </w:p>
        </w:tc>
        <w:tc>
          <w:tcPr>
            <w:tcW w:w="229" w:type="pct"/>
            <w:vAlign w:val="center"/>
          </w:tcPr>
          <w:p>
            <w:pPr>
              <w:pStyle w:val="21"/>
              <w:rPr>
                <w:sz w:val="24"/>
                <w:szCs w:val="32"/>
              </w:rPr>
            </w:pPr>
          </w:p>
        </w:tc>
        <w:tc>
          <w:tcPr>
            <w:tcW w:w="275" w:type="pct"/>
            <w:vAlign w:val="center"/>
          </w:tcPr>
          <w:p>
            <w:pPr>
              <w:pStyle w:val="22"/>
              <w:rPr>
                <w:sz w:val="24"/>
                <w:szCs w:val="32"/>
              </w:rPr>
            </w:pPr>
          </w:p>
        </w:tc>
        <w:tc>
          <w:tcPr>
            <w:tcW w:w="275"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2" w:type="pct"/>
            <w:vAlign w:val="center"/>
          </w:tcPr>
          <w:p>
            <w:pPr>
              <w:pStyle w:val="22"/>
              <w:rPr>
                <w:sz w:val="24"/>
                <w:szCs w:val="32"/>
              </w:rPr>
            </w:pPr>
          </w:p>
        </w:tc>
        <w:tc>
          <w:tcPr>
            <w:tcW w:w="318" w:type="pct"/>
            <w:vAlign w:val="center"/>
          </w:tcPr>
          <w:p>
            <w:pPr>
              <w:pStyle w:val="22"/>
              <w:rPr>
                <w:sz w:val="24"/>
                <w:szCs w:val="32"/>
              </w:rPr>
            </w:pPr>
          </w:p>
        </w:tc>
        <w:tc>
          <w:tcPr>
            <w:tcW w:w="312" w:type="pct"/>
            <w:vAlign w:val="center"/>
          </w:tcPr>
          <w:p>
            <w:pPr>
              <w:pStyle w:val="22"/>
              <w:rPr>
                <w:sz w:val="24"/>
                <w:szCs w:val="32"/>
              </w:rPr>
            </w:pPr>
          </w:p>
        </w:tc>
      </w:tr>
    </w:tbl>
    <w:p>
      <w:pPr>
        <w:spacing w:line="500" w:lineRule="exact"/>
        <w:ind w:firstLine="420"/>
        <w:rPr>
          <w:rFonts w:ascii="方正仿宋_GBK" w:hAnsi="方正仿宋_GBK" w:eastAsia="方正仿宋_GBK" w:cs="方正仿宋_GBK"/>
          <w:color w:val="000000"/>
        </w:rPr>
      </w:pPr>
      <w:r>
        <w:rPr>
          <w:rFonts w:ascii="方正仿宋_GBK" w:hAnsi="方正仿宋_GBK" w:eastAsia="方正仿宋_GBK" w:cs="方正仿宋_GBK"/>
          <w:color w:val="000000"/>
        </w:rPr>
        <w:t>注：同一采购目录序号的物品，其单价会因配置规格不同而变动，均符合资产配置标准。涉密采购事项按照相关规定执行。</w:t>
      </w:r>
    </w:p>
    <w:p>
      <w:pPr>
        <w:autoSpaceDE w:val="0"/>
        <w:autoSpaceDN w:val="0"/>
        <w:adjustRightInd w:val="0"/>
        <w:spacing w:line="584" w:lineRule="exact"/>
        <w:ind w:firstLine="640" w:firstLineChars="200"/>
        <w:jc w:val="left"/>
        <w:rPr>
          <w:rFonts w:hint="eastAsia"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七、国有资产信息</w:t>
      </w:r>
    </w:p>
    <w:p>
      <w:pPr>
        <w:spacing w:line="584" w:lineRule="exact"/>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廊坊市广阳区妇幼保健院上年末固定资产金额为</w:t>
      </w:r>
      <w:r>
        <w:rPr>
          <w:rFonts w:ascii="Times New Roman" w:hAnsi="Times New Roman" w:eastAsia="仿宋_GB2312" w:cs="Times New Roman"/>
          <w:sz w:val="32"/>
          <w:szCs w:val="32"/>
        </w:rPr>
        <w:t>6137.11</w:t>
      </w:r>
      <w:r>
        <w:rPr>
          <w:rFonts w:hint="eastAsia" w:ascii="Times New Roman" w:hAnsi="Times New Roman" w:eastAsia="仿宋_GB2312" w:cs="Times New Roman"/>
          <w:sz w:val="32"/>
          <w:szCs w:val="32"/>
        </w:rPr>
        <w:t>万元（详见下表），</w:t>
      </w:r>
    </w:p>
    <w:tbl>
      <w:tblPr>
        <w:tblStyle w:val="10"/>
        <w:tblW w:w="13482" w:type="dxa"/>
        <w:tblInd w:w="93" w:type="dxa"/>
        <w:tblLayout w:type="fixed"/>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noWrap/>
            <w:vAlign w:val="center"/>
          </w:tcPr>
          <w:p>
            <w:pPr>
              <w:widowControl/>
              <w:spacing w:line="584" w:lineRule="exact"/>
              <w:ind w:firstLine="3855" w:firstLineChars="1200"/>
              <w:rPr>
                <w:rFonts w:ascii="Times New Roman" w:hAnsi="Times New Roman" w:eastAsia="仿宋_GB2312" w:cs="Times New Roman"/>
                <w:b/>
                <w:bCs/>
                <w:kern w:val="0"/>
                <w:sz w:val="32"/>
                <w:szCs w:val="32"/>
              </w:rPr>
            </w:pPr>
            <w:r>
              <w:rPr>
                <w:rFonts w:hint="eastAsia" w:ascii="Times New Roman" w:hAnsi="Times New Roman" w:eastAsia="仿宋_GB2312" w:cs="Times New Roman"/>
                <w:b/>
                <w:bCs/>
                <w:kern w:val="0"/>
                <w:sz w:val="32"/>
                <w:szCs w:val="32"/>
              </w:rPr>
              <w:t>廊坊广阳区妇幼保健院固定资产占用情况表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noWrap/>
            <w:vAlign w:val="center"/>
          </w:tcPr>
          <w:p>
            <w:pPr>
              <w:widowControl/>
              <w:spacing w:line="584" w:lineRule="exact"/>
              <w:jc w:val="left"/>
              <w:rPr>
                <w:rFonts w:ascii="Times New Roman" w:hAnsi="Times New Roman" w:eastAsia="仿宋_GB2312" w:cs="Times New Roman"/>
                <w:kern w:val="0"/>
                <w:sz w:val="22"/>
              </w:rPr>
            </w:pPr>
            <w:r>
              <w:rPr>
                <w:rFonts w:hint="eastAsia" w:ascii="Times New Roman" w:hAnsi="Times New Roman" w:eastAsia="仿宋_GB2312" w:cs="Times New Roman"/>
                <w:kern w:val="0"/>
                <w:sz w:val="22"/>
              </w:rPr>
              <w:t>编制</w:t>
            </w:r>
            <w:r>
              <w:rPr>
                <w:rFonts w:hint="eastAsia" w:ascii="Times New Roman" w:hAnsi="Times New Roman" w:eastAsia="仿宋_GB2312" w:cs="Times New Roman"/>
                <w:kern w:val="0"/>
                <w:sz w:val="22"/>
                <w:lang w:eastAsia="zh-CN"/>
              </w:rPr>
              <w:t>单位</w:t>
            </w:r>
            <w:r>
              <w:rPr>
                <w:rFonts w:hint="eastAsia" w:ascii="Times New Roman" w:hAnsi="Times New Roman" w:eastAsia="仿宋_GB2312" w:cs="Times New Roman"/>
                <w:kern w:val="0"/>
                <w:sz w:val="22"/>
              </w:rPr>
              <w:t>：廊坊市中医医院</w:t>
            </w:r>
          </w:p>
        </w:tc>
        <w:tc>
          <w:tcPr>
            <w:tcW w:w="5103" w:type="dxa"/>
            <w:tcBorders>
              <w:top w:val="nil"/>
              <w:left w:val="nil"/>
              <w:bottom w:val="nil"/>
              <w:right w:val="nil"/>
            </w:tcBorders>
            <w:noWrap/>
            <w:vAlign w:val="center"/>
          </w:tcPr>
          <w:p>
            <w:pPr>
              <w:widowControl/>
              <w:spacing w:line="584" w:lineRule="exact"/>
              <w:jc w:val="left"/>
              <w:rPr>
                <w:rFonts w:ascii="Times New Roman" w:hAnsi="Times New Roman" w:eastAsia="仿宋_GB2312" w:cs="Times New Roman"/>
                <w:kern w:val="0"/>
                <w:sz w:val="22"/>
              </w:rPr>
            </w:pPr>
            <w:r>
              <w:rPr>
                <w:rFonts w:hint="eastAsia" w:ascii="Times New Roman" w:hAnsi="Times New Roman" w:eastAsia="仿宋_GB2312" w:cs="Times New Roman"/>
                <w:kern w:val="0"/>
                <w:sz w:val="22"/>
              </w:rPr>
              <w:t>截止时间：</w:t>
            </w:r>
            <w:r>
              <w:rPr>
                <w:rFonts w:ascii="Times New Roman" w:hAnsi="Times New Roman" w:eastAsia="仿宋_GB2312" w:cs="Times New Roman"/>
                <w:kern w:val="0"/>
                <w:sz w:val="22"/>
              </w:rPr>
              <w:t>2020</w:t>
            </w:r>
            <w:r>
              <w:rPr>
                <w:rFonts w:hint="eastAsia" w:ascii="Times New Roman" w:hAnsi="Times New Roman" w:eastAsia="仿宋_GB2312" w:cs="Times New Roman"/>
                <w:kern w:val="0"/>
                <w:sz w:val="22"/>
              </w:rPr>
              <w:t>年</w:t>
            </w:r>
            <w:r>
              <w:rPr>
                <w:rFonts w:ascii="Times New Roman" w:hAnsi="Times New Roman" w:eastAsia="仿宋_GB2312" w:cs="Times New Roman"/>
                <w:kern w:val="0"/>
                <w:sz w:val="22"/>
              </w:rPr>
              <w:t>12</w:t>
            </w:r>
            <w:r>
              <w:rPr>
                <w:rFonts w:hint="eastAsia" w:ascii="Times New Roman" w:hAnsi="Times New Roman" w:eastAsia="仿宋_GB2312" w:cs="Times New Roman"/>
                <w:kern w:val="0"/>
                <w:sz w:val="22"/>
              </w:rPr>
              <w:t>月</w:t>
            </w:r>
            <w:r>
              <w:rPr>
                <w:rFonts w:ascii="Times New Roman" w:hAnsi="Times New Roman" w:eastAsia="仿宋_GB2312" w:cs="Times New Roman"/>
                <w:kern w:val="0"/>
                <w:sz w:val="22"/>
              </w:rPr>
              <w:t>31</w:t>
            </w:r>
            <w:r>
              <w:rPr>
                <w:rFonts w:hint="eastAsia" w:ascii="Times New Roman" w:hAnsi="Times New Roman" w:eastAsia="仿宋_GB2312" w:cs="Times New Roman"/>
                <w:kern w:val="0"/>
                <w:sz w:val="22"/>
              </w:rPr>
              <w:t>日</w:t>
            </w:r>
            <w:r>
              <w:rPr>
                <w:rFonts w:ascii="Times New Roman" w:hAnsi="Times New Roman" w:eastAsia="仿宋_GB2312" w:cs="Times New Roman"/>
                <w:kern w:val="0"/>
                <w:sz w:val="22"/>
              </w:rPr>
              <w:t xml:space="preserve">  </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b/>
                <w:bCs/>
                <w:kern w:val="0"/>
                <w:sz w:val="22"/>
              </w:rPr>
            </w:pPr>
            <w:r>
              <w:rPr>
                <w:rFonts w:hint="eastAsia" w:ascii="Times New Roman" w:hAnsi="Times New Roman" w:eastAsia="仿宋_GB2312" w:cs="Times New Roman"/>
                <w:b/>
                <w:bCs/>
                <w:kern w:val="0"/>
                <w:sz w:val="22"/>
              </w:rPr>
              <w:t>项</w:t>
            </w:r>
            <w:r>
              <w:rPr>
                <w:rFonts w:ascii="Times New Roman" w:hAnsi="Times New Roman" w:eastAsia="仿宋_GB2312" w:cs="Times New Roman"/>
                <w:b/>
                <w:bCs/>
                <w:kern w:val="0"/>
                <w:sz w:val="22"/>
              </w:rPr>
              <w:t xml:space="preserve">   </w:t>
            </w:r>
            <w:r>
              <w:rPr>
                <w:rFonts w:hint="eastAsia" w:ascii="Times New Roman" w:hAnsi="Times New Roman" w:eastAsia="仿宋_GB2312" w:cs="Times New Roman"/>
                <w:b/>
                <w:bCs/>
                <w:kern w:val="0"/>
                <w:sz w:val="22"/>
              </w:rPr>
              <w:t>目</w:t>
            </w:r>
          </w:p>
        </w:tc>
        <w:tc>
          <w:tcPr>
            <w:tcW w:w="3155" w:type="dxa"/>
            <w:tcBorders>
              <w:top w:val="single" w:color="auto" w:sz="4" w:space="0"/>
              <w:left w:val="nil"/>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b/>
                <w:bCs/>
                <w:kern w:val="0"/>
                <w:sz w:val="22"/>
              </w:rPr>
            </w:pPr>
            <w:r>
              <w:rPr>
                <w:rFonts w:hint="eastAsia"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b/>
                <w:bCs/>
                <w:kern w:val="0"/>
                <w:sz w:val="22"/>
              </w:rPr>
            </w:pPr>
            <w:r>
              <w:rPr>
                <w:rFonts w:hint="eastAsia"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kern w:val="0"/>
                <w:sz w:val="22"/>
              </w:rPr>
            </w:pPr>
            <w:r>
              <w:rPr>
                <w:rFonts w:hint="eastAsia"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6137.11</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w:t>
            </w:r>
            <w:r>
              <w:rPr>
                <w:rFonts w:hint="eastAsia" w:ascii="Times New Roman" w:hAnsi="Times New Roman" w:eastAsia="仿宋_GB2312" w:cs="Times New Roman"/>
                <w:kern w:val="0"/>
                <w:sz w:val="22"/>
              </w:rPr>
              <w:t>、房屋（平方米）</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9256.9</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904.9</w:t>
            </w:r>
          </w:p>
        </w:tc>
      </w:tr>
      <w:tr>
        <w:tblPrEx>
          <w:tblCellMar>
            <w:top w:w="0" w:type="dxa"/>
            <w:left w:w="108" w:type="dxa"/>
            <w:bottom w:w="0" w:type="dxa"/>
            <w:right w:w="108" w:type="dxa"/>
          </w:tblCellMar>
        </w:tblPrEx>
        <w:trPr>
          <w:trHeight w:val="48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kern w:val="0"/>
                <w:sz w:val="22"/>
              </w:rPr>
            </w:pPr>
            <w:r>
              <w:rPr>
                <w:rFonts w:hint="eastAsia"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9256.9</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904.9</w:t>
            </w:r>
          </w:p>
        </w:tc>
      </w:tr>
      <w:tr>
        <w:tblPrEx>
          <w:tblCellMar>
            <w:top w:w="0" w:type="dxa"/>
            <w:left w:w="108" w:type="dxa"/>
            <w:bottom w:w="0" w:type="dxa"/>
            <w:right w:w="108" w:type="dxa"/>
          </w:tblCellMar>
        </w:tblPrEx>
        <w:trPr>
          <w:trHeight w:val="48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w:t>
            </w:r>
            <w:r>
              <w:rPr>
                <w:rFonts w:hint="eastAsia" w:ascii="Times New Roman" w:hAnsi="Times New Roman" w:eastAsia="仿宋_GB2312" w:cs="Times New Roman"/>
                <w:kern w:val="0"/>
                <w:sz w:val="22"/>
              </w:rPr>
              <w:t>、车辆（台、辆）</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5</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118.53</w:t>
            </w:r>
          </w:p>
        </w:tc>
      </w:tr>
      <w:tr>
        <w:tblPrEx>
          <w:tblCellMar>
            <w:top w:w="0" w:type="dxa"/>
            <w:left w:w="108" w:type="dxa"/>
            <w:bottom w:w="0" w:type="dxa"/>
            <w:right w:w="108" w:type="dxa"/>
          </w:tblCellMar>
        </w:tblPrEx>
        <w:trPr>
          <w:trHeight w:val="487" w:hRule="exact"/>
        </w:trPr>
        <w:tc>
          <w:tcPr>
            <w:tcW w:w="5224" w:type="dxa"/>
            <w:tcBorders>
              <w:top w:val="nil"/>
              <w:left w:val="single" w:color="auto" w:sz="4" w:space="0"/>
              <w:bottom w:val="single" w:color="auto" w:sz="4" w:space="0"/>
              <w:right w:val="single" w:color="auto" w:sz="4" w:space="0"/>
            </w:tcBorders>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w:t>
            </w:r>
            <w:r>
              <w:rPr>
                <w:rFonts w:hint="eastAsia" w:ascii="Times New Roman" w:hAnsi="Times New Roman" w:eastAsia="仿宋_GB2312" w:cs="Times New Roman"/>
                <w:kern w:val="0"/>
                <w:sz w:val="22"/>
              </w:rPr>
              <w:t>、单价在</w:t>
            </w:r>
            <w:r>
              <w:rPr>
                <w:rFonts w:ascii="Times New Roman" w:hAnsi="Times New Roman" w:eastAsia="仿宋_GB2312" w:cs="Times New Roman"/>
                <w:kern w:val="0"/>
                <w:sz w:val="22"/>
              </w:rPr>
              <w:t>20</w:t>
            </w:r>
            <w:r>
              <w:rPr>
                <w:rFonts w:hint="eastAsia" w:ascii="Times New Roman" w:hAnsi="Times New Roman" w:eastAsia="仿宋_GB2312" w:cs="Times New Roman"/>
                <w:kern w:val="0"/>
                <w:sz w:val="22"/>
              </w:rPr>
              <w:t>万元以上的设备</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26</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3378.8</w:t>
            </w:r>
          </w:p>
        </w:tc>
      </w:tr>
      <w:tr>
        <w:tblPrEx>
          <w:tblCellMar>
            <w:top w:w="0" w:type="dxa"/>
            <w:left w:w="108" w:type="dxa"/>
            <w:bottom w:w="0" w:type="dxa"/>
            <w:right w:w="108" w:type="dxa"/>
          </w:tblCellMar>
        </w:tblPrEx>
        <w:trPr>
          <w:trHeight w:val="47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w:t>
            </w:r>
            <w:r>
              <w:rPr>
                <w:rFonts w:hint="eastAsia" w:ascii="Times New Roman" w:hAnsi="Times New Roman" w:eastAsia="仿宋_GB2312" w:cs="Times New Roman"/>
                <w:kern w:val="0"/>
                <w:sz w:val="22"/>
              </w:rPr>
              <w:t>、其他固定资产</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1033</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1734.88</w:t>
            </w:r>
          </w:p>
          <w:p>
            <w:pPr>
              <w:spacing w:line="584" w:lineRule="exact"/>
              <w:jc w:val="center"/>
              <w:rPr>
                <w:rFonts w:ascii="Times New Roman" w:hAnsi="Times New Roman" w:eastAsia="仿宋_GB2312" w:cs="Times New Roman"/>
                <w:sz w:val="22"/>
              </w:rPr>
            </w:pPr>
          </w:p>
        </w:tc>
      </w:tr>
    </w:tbl>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八、名词解释</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w:t>
      </w:r>
      <w:r>
        <w:rPr>
          <w:rFonts w:hint="eastAsia" w:ascii="Times New Roman" w:hAnsi="Times New Roman" w:eastAsia="仿宋_GB2312" w:cs="Times New Roman"/>
          <w:b/>
          <w:sz w:val="32"/>
          <w:szCs w:val="32"/>
        </w:rPr>
        <w:t>、一般公共预算拨款收入：</w:t>
      </w:r>
      <w:r>
        <w:rPr>
          <w:rFonts w:hint="eastAsia" w:ascii="Times New Roman" w:hAnsi="Times New Roman" w:eastAsia="仿宋_GB2312" w:cs="Times New Roman"/>
          <w:sz w:val="32"/>
          <w:szCs w:val="32"/>
        </w:rPr>
        <w:t>指</w:t>
      </w:r>
      <w:r>
        <w:rPr>
          <w:rFonts w:hint="eastAsia" w:ascii="Times New Roman" w:hAnsi="Times New Roman" w:eastAsia="仿宋_GB2312" w:cs="Times New Roman"/>
          <w:sz w:val="32"/>
          <w:szCs w:val="32"/>
          <w:lang w:eastAsia="zh-CN"/>
        </w:rPr>
        <w:t>区</w:t>
      </w:r>
      <w:r>
        <w:rPr>
          <w:rFonts w:hint="eastAsia" w:ascii="Times New Roman" w:hAnsi="Times New Roman" w:eastAsia="仿宋_GB2312" w:cs="Times New Roman"/>
          <w:sz w:val="32"/>
          <w:szCs w:val="32"/>
        </w:rPr>
        <w:t>级财政当年拨付的资金。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w:t>
      </w:r>
      <w:r>
        <w:rPr>
          <w:rFonts w:hint="eastAsia" w:ascii="Times New Roman" w:hAnsi="Times New Roman" w:eastAsia="仿宋_GB2312" w:cs="Times New Roman"/>
          <w:b/>
          <w:sz w:val="32"/>
          <w:szCs w:val="32"/>
        </w:rPr>
        <w:t>、事业收入：</w:t>
      </w:r>
      <w:r>
        <w:rPr>
          <w:rFonts w:hint="eastAsia"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w:t>
      </w:r>
      <w:r>
        <w:rPr>
          <w:rFonts w:hint="eastAsia" w:ascii="Times New Roman" w:hAnsi="Times New Roman" w:eastAsia="仿宋_GB2312" w:cs="Times New Roman"/>
          <w:b/>
          <w:sz w:val="32"/>
          <w:szCs w:val="32"/>
        </w:rPr>
        <w:t>、其他收入：</w:t>
      </w:r>
      <w:r>
        <w:rPr>
          <w:rFonts w:hint="eastAsia" w:ascii="Times New Roman" w:hAnsi="Times New Roman" w:eastAsia="仿宋_GB2312" w:cs="Times New Roman"/>
          <w:sz w:val="32"/>
          <w:szCs w:val="32"/>
        </w:rPr>
        <w:t>指除</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一般公共预算拨款收入</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事业收入</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等以外的收入。主要是按规定动用的租房收入、存款利息收入等。</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w:t>
      </w:r>
      <w:r>
        <w:rPr>
          <w:rFonts w:hint="eastAsia" w:ascii="Times New Roman" w:hAnsi="Times New Roman" w:eastAsia="仿宋_GB2312" w:cs="Times New Roman"/>
          <w:b/>
          <w:sz w:val="32"/>
          <w:szCs w:val="32"/>
        </w:rPr>
        <w:t>、基本支出：</w:t>
      </w:r>
      <w:r>
        <w:rPr>
          <w:rFonts w:hint="eastAsia"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w:t>
      </w:r>
      <w:r>
        <w:rPr>
          <w:rFonts w:hint="eastAsia" w:ascii="Times New Roman" w:hAnsi="Times New Roman" w:eastAsia="仿宋_GB2312" w:cs="Times New Roman"/>
          <w:b/>
          <w:sz w:val="32"/>
          <w:szCs w:val="32"/>
        </w:rPr>
        <w:t>、项目支出：</w:t>
      </w:r>
      <w:r>
        <w:rPr>
          <w:rFonts w:hint="eastAsia"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w:t>
      </w:r>
      <w:r>
        <w:rPr>
          <w:rFonts w:hint="eastAsia" w:ascii="Times New Roman" w:hAnsi="Times New Roman" w:eastAsia="仿宋_GB2312" w:cs="Times New Roman"/>
          <w:b/>
          <w:sz w:val="32"/>
          <w:szCs w:val="32"/>
        </w:rPr>
        <w:t>、上缴上级支出：</w:t>
      </w:r>
      <w:r>
        <w:rPr>
          <w:rFonts w:hint="eastAsia" w:ascii="Times New Roman" w:hAnsi="Times New Roman" w:eastAsia="仿宋_GB2312" w:cs="Times New Roman"/>
          <w:sz w:val="32"/>
          <w:szCs w:val="32"/>
        </w:rPr>
        <w:t>指下级单位上缴上级的支出。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w:t>
      </w:r>
      <w:r>
        <w:rPr>
          <w:rFonts w:hint="eastAsia" w:ascii="Times New Roman" w:hAnsi="Times New Roman" w:eastAsia="仿宋_GB2312" w:cs="Times New Roman"/>
          <w:b/>
          <w:sz w:val="32"/>
          <w:szCs w:val="32"/>
        </w:rPr>
        <w:t>、</w:t>
      </w:r>
      <w:r>
        <w:rPr>
          <w:rFonts w:ascii="Times New Roman" w:hAnsi="Times New Roman" w:eastAsia="仿宋_GB2312" w:cs="Times New Roman"/>
          <w:b/>
          <w:sz w:val="32"/>
          <w:szCs w:val="32"/>
        </w:rPr>
        <w:t>“</w:t>
      </w:r>
      <w:r>
        <w:rPr>
          <w:rFonts w:hint="eastAsia" w:ascii="Times New Roman" w:hAnsi="Times New Roman" w:eastAsia="仿宋_GB2312" w:cs="Times New Roman"/>
          <w:b/>
          <w:sz w:val="32"/>
          <w:szCs w:val="32"/>
        </w:rPr>
        <w:t>三公</w:t>
      </w:r>
      <w:r>
        <w:rPr>
          <w:rFonts w:ascii="Times New Roman" w:hAnsi="Times New Roman" w:eastAsia="仿宋_GB2312" w:cs="Times New Roman"/>
          <w:b/>
          <w:sz w:val="32"/>
          <w:szCs w:val="32"/>
        </w:rPr>
        <w:t>”</w:t>
      </w:r>
      <w:r>
        <w:rPr>
          <w:rFonts w:hint="eastAsia" w:ascii="Times New Roman" w:hAnsi="Times New Roman" w:eastAsia="仿宋_GB2312" w:cs="Times New Roman"/>
          <w:b/>
          <w:sz w:val="32"/>
          <w:szCs w:val="32"/>
        </w:rPr>
        <w:t>经费：</w:t>
      </w:r>
      <w:r>
        <w:rPr>
          <w:rFonts w:hint="eastAsia" w:ascii="Times New Roman" w:hAnsi="Times New Roman" w:eastAsia="仿宋_GB2312" w:cs="Times New Roman"/>
          <w:sz w:val="32"/>
          <w:szCs w:val="32"/>
        </w:rPr>
        <w:t>纳入</w:t>
      </w:r>
      <w:r>
        <w:rPr>
          <w:rFonts w:hint="eastAsia" w:ascii="Times New Roman" w:hAnsi="Times New Roman" w:eastAsia="仿宋_GB2312" w:cs="Times New Roman"/>
          <w:sz w:val="32"/>
          <w:szCs w:val="32"/>
          <w:lang w:eastAsia="zh-CN"/>
        </w:rPr>
        <w:t>区</w:t>
      </w:r>
      <w:r>
        <w:rPr>
          <w:rFonts w:hint="eastAsia" w:ascii="Times New Roman" w:hAnsi="Times New Roman" w:eastAsia="仿宋_GB2312" w:cs="Times New Roman"/>
          <w:sz w:val="32"/>
          <w:szCs w:val="32"/>
        </w:rPr>
        <w:t>级财政预算管理的</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三公</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经费，是指</w:t>
      </w:r>
      <w:r>
        <w:rPr>
          <w:rFonts w:hint="eastAsia" w:ascii="Times New Roman" w:hAnsi="Times New Roman" w:eastAsia="仿宋_GB2312" w:cs="Times New Roman"/>
          <w:sz w:val="32"/>
          <w:szCs w:val="32"/>
          <w:lang w:eastAsia="zh-CN"/>
        </w:rPr>
        <w:t>区</w:t>
      </w:r>
      <w:r>
        <w:rPr>
          <w:rFonts w:hint="eastAsia" w:ascii="Times New Roman" w:hAnsi="Times New Roman" w:eastAsia="仿宋_GB2312" w:cs="Times New Roman"/>
          <w:sz w:val="32"/>
          <w:szCs w:val="32"/>
        </w:rPr>
        <w:t>级</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w:t>
      </w:r>
      <w:r>
        <w:rPr>
          <w:rFonts w:hint="eastAsia" w:ascii="Times New Roman" w:hAnsi="Times New Roman" w:eastAsia="仿宋_GB2312" w:cs="Times New Roman"/>
          <w:b/>
          <w:sz w:val="32"/>
          <w:szCs w:val="32"/>
        </w:rPr>
        <w:t>、机关运行费：</w:t>
      </w:r>
      <w:r>
        <w:rPr>
          <w:rFonts w:hint="eastAsia"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w:t>
      </w:r>
      <w:r>
        <w:rPr>
          <w:rFonts w:hint="eastAsia" w:ascii="Times New Roman" w:hAnsi="Times New Roman" w:eastAsia="仿宋_GB2312" w:cs="Times New Roman"/>
          <w:b/>
          <w:sz w:val="32"/>
          <w:szCs w:val="32"/>
        </w:rPr>
        <w:t>、上年结转：</w:t>
      </w:r>
      <w:r>
        <w:rPr>
          <w:rFonts w:hint="eastAsia"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w:t>
      </w:r>
      <w:r>
        <w:rPr>
          <w:rFonts w:hint="eastAsia" w:ascii="Times New Roman" w:hAnsi="Times New Roman" w:eastAsia="仿宋_GB2312" w:cs="Times New Roman"/>
          <w:b/>
          <w:sz w:val="32"/>
          <w:szCs w:val="32"/>
        </w:rPr>
        <w:t>、事业单位经营支出：</w:t>
      </w:r>
      <w:r>
        <w:rPr>
          <w:rFonts w:hint="eastAsia"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九、其他需要说明的事项</w:t>
      </w:r>
    </w:p>
    <w:p>
      <w:pPr>
        <w:spacing w:line="584"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我</w:t>
      </w:r>
      <w:r>
        <w:rPr>
          <w:rFonts w:hint="eastAsia" w:ascii="Times New Roman" w:hAnsi="Times New Roman" w:eastAsia="仿宋_GB2312" w:cs="Times New Roman"/>
          <w:sz w:val="32"/>
          <w:szCs w:val="32"/>
          <w:lang w:eastAsia="zh-CN"/>
        </w:rPr>
        <w:t>单位</w:t>
      </w:r>
      <w:r>
        <w:rPr>
          <w:rFonts w:hint="eastAsia" w:ascii="Times New Roman" w:hAnsi="Times New Roman" w:eastAsia="仿宋_GB2312" w:cs="Times New Roman"/>
          <w:sz w:val="32"/>
          <w:szCs w:val="32"/>
        </w:rPr>
        <w:t>无其他需要说明的事项。</w:t>
      </w:r>
    </w:p>
    <w:sectPr>
      <w:footerReference r:id="rId3" w:type="default"/>
      <w:pgSz w:w="16838" w:h="11906" w:orient="landscape"/>
      <w:pgMar w:top="1800" w:right="1440" w:bottom="1800" w:left="144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092C982-439B-40ED-85F0-FEDC8F826E3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7AA75D7D-1387-4FF0-8C82-45361DE41F1A}"/>
  </w:font>
  <w:font w:name="方正书宋_GBK">
    <w:altName w:val="宋体"/>
    <w:panose1 w:val="00000000000000000000"/>
    <w:charset w:val="86"/>
    <w:family w:val="script"/>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宋体"/>
    <w:panose1 w:val="00000000000000000000"/>
    <w:charset w:val="86"/>
    <w:family w:val="script"/>
    <w:pitch w:val="default"/>
    <w:sig w:usb0="00000000" w:usb1="00000000" w:usb2="00000010" w:usb3="00000000" w:csb0="00040000" w:csb1="00000000"/>
  </w:font>
  <w:font w:name="方正仿宋_GBK">
    <w:panose1 w:val="02000000000000000000"/>
    <w:charset w:val="86"/>
    <w:family w:val="script"/>
    <w:pitch w:val="default"/>
    <w:sig w:usb0="A00002BF" w:usb1="38CF7CFA" w:usb2="00082016" w:usb3="00000000" w:csb0="00040001" w:csb1="00000000"/>
    <w:embedRegular r:id="rId3" w:fontKey="{63863528-19C3-45D4-B2EE-BB783B69EE6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t>-</w:t>
    </w:r>
    <w:r>
      <w:fldChar w:fldCharType="begin"/>
    </w:r>
    <w:r>
      <w:instrText xml:space="preserve">PAGE   \* MERGEFORMAT</w:instrText>
    </w:r>
    <w:r>
      <w:fldChar w:fldCharType="separate"/>
    </w:r>
    <w:r>
      <w:rPr>
        <w:lang w:val="zh-CN"/>
      </w:rPr>
      <w:t>14</w:t>
    </w:r>
    <w:r>
      <w:rPr>
        <w:lang w:val="zh-CN"/>
      </w:rPr>
      <w:fldChar w:fldCharType="end"/>
    </w:r>
    <w:r>
      <w:t>-</w:t>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1MzJjNTBhNGFmZWFjOWNkNzBiMDRhNDMxMDgwZTEifQ=="/>
  </w:docVars>
  <w:rsids>
    <w:rsidRoot w:val="00D347CC"/>
    <w:rsid w:val="00050043"/>
    <w:rsid w:val="000B502C"/>
    <w:rsid w:val="000F021B"/>
    <w:rsid w:val="000F346A"/>
    <w:rsid w:val="00164DED"/>
    <w:rsid w:val="001B7D27"/>
    <w:rsid w:val="001B7EA6"/>
    <w:rsid w:val="001E49DC"/>
    <w:rsid w:val="002D5046"/>
    <w:rsid w:val="002F0B63"/>
    <w:rsid w:val="00301F9F"/>
    <w:rsid w:val="00352803"/>
    <w:rsid w:val="00356683"/>
    <w:rsid w:val="0037037A"/>
    <w:rsid w:val="0039231D"/>
    <w:rsid w:val="003E09AF"/>
    <w:rsid w:val="004001BF"/>
    <w:rsid w:val="00414D3D"/>
    <w:rsid w:val="00441495"/>
    <w:rsid w:val="00492810"/>
    <w:rsid w:val="004A0A5C"/>
    <w:rsid w:val="004A54AA"/>
    <w:rsid w:val="004C3849"/>
    <w:rsid w:val="004D22BC"/>
    <w:rsid w:val="00500857"/>
    <w:rsid w:val="00602036"/>
    <w:rsid w:val="00620FD2"/>
    <w:rsid w:val="00644687"/>
    <w:rsid w:val="006B0706"/>
    <w:rsid w:val="006D129D"/>
    <w:rsid w:val="00722D6B"/>
    <w:rsid w:val="007531BB"/>
    <w:rsid w:val="00756A23"/>
    <w:rsid w:val="007C7737"/>
    <w:rsid w:val="007E3588"/>
    <w:rsid w:val="00807A76"/>
    <w:rsid w:val="00874D33"/>
    <w:rsid w:val="008A10D6"/>
    <w:rsid w:val="008F0EB4"/>
    <w:rsid w:val="00953D0B"/>
    <w:rsid w:val="00995C0C"/>
    <w:rsid w:val="00A07D56"/>
    <w:rsid w:val="00A218C6"/>
    <w:rsid w:val="00A279FC"/>
    <w:rsid w:val="00A67037"/>
    <w:rsid w:val="00B17B32"/>
    <w:rsid w:val="00B35E02"/>
    <w:rsid w:val="00B80935"/>
    <w:rsid w:val="00BC696B"/>
    <w:rsid w:val="00C20CEA"/>
    <w:rsid w:val="00C30356"/>
    <w:rsid w:val="00C66AB4"/>
    <w:rsid w:val="00D27FD1"/>
    <w:rsid w:val="00D33F62"/>
    <w:rsid w:val="00D347CC"/>
    <w:rsid w:val="00D4298A"/>
    <w:rsid w:val="00D960D7"/>
    <w:rsid w:val="00DE4929"/>
    <w:rsid w:val="00E2093F"/>
    <w:rsid w:val="00E27CE3"/>
    <w:rsid w:val="00E57D57"/>
    <w:rsid w:val="00F162F4"/>
    <w:rsid w:val="00FE5CD4"/>
    <w:rsid w:val="197D612C"/>
    <w:rsid w:val="2D947EA3"/>
    <w:rsid w:val="34D4450A"/>
    <w:rsid w:val="3CE830C4"/>
    <w:rsid w:val="49243051"/>
    <w:rsid w:val="52D918E6"/>
    <w:rsid w:val="68017C0C"/>
    <w:rsid w:val="7F7427D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qFormat="1" w:unhideWhenUsed="0" w:uiPriority="99" w:semiHidden="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qFormat="1" w:unhideWhenUsed="0" w:uiPriority="99" w:semiHidden="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character" w:default="1" w:styleId="11">
    <w:name w:val="Default Paragraph Font"/>
    <w:semiHidden/>
    <w:qFormat/>
    <w:uiPriority w:val="99"/>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19"/>
    <w:qFormat/>
    <w:uiPriority w:val="99"/>
    <w:pPr>
      <w:ind w:left="660"/>
    </w:pPr>
    <w:rPr>
      <w:rFonts w:ascii="Times New Roman" w:hAnsi="Times New Roman" w:eastAsia="仿宋_GB2312" w:cs="Times New Roman"/>
      <w:color w:val="FF0000"/>
      <w:sz w:val="32"/>
      <w:szCs w:val="24"/>
    </w:rPr>
  </w:style>
  <w:style w:type="paragraph" w:styleId="3">
    <w:name w:val="Body Text Indent 2"/>
    <w:basedOn w:val="1"/>
    <w:link w:val="18"/>
    <w:qFormat/>
    <w:uiPriority w:val="99"/>
    <w:pPr>
      <w:ind w:firstLine="653" w:firstLineChars="200"/>
    </w:pPr>
    <w:rPr>
      <w:rFonts w:ascii="Times New Roman" w:hAnsi="Times New Roman" w:eastAsia="仿宋_GB2312" w:cs="Times New Roman"/>
      <w:kern w:val="0"/>
      <w:sz w:val="32"/>
      <w:szCs w:val="24"/>
    </w:rPr>
  </w:style>
  <w:style w:type="paragraph" w:styleId="4">
    <w:name w:val="Balloon Text"/>
    <w:basedOn w:val="1"/>
    <w:link w:val="13"/>
    <w:qFormat/>
    <w:uiPriority w:val="99"/>
    <w:rPr>
      <w:sz w:val="18"/>
      <w:szCs w:val="18"/>
    </w:rPr>
  </w:style>
  <w:style w:type="paragraph" w:styleId="5">
    <w:name w:val="footer"/>
    <w:basedOn w:val="1"/>
    <w:link w:val="14"/>
    <w:qFormat/>
    <w:uiPriority w:val="99"/>
    <w:pPr>
      <w:tabs>
        <w:tab w:val="center" w:pos="4153"/>
        <w:tab w:val="right" w:pos="8306"/>
      </w:tabs>
      <w:snapToGrid w:val="0"/>
      <w:jc w:val="left"/>
    </w:pPr>
    <w:rPr>
      <w:rFonts w:ascii="Times New Roman" w:hAnsi="Times New Roman" w:cs="Times New Roman"/>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7">
    <w:name w:val="toc 1"/>
    <w:basedOn w:val="1"/>
    <w:next w:val="1"/>
    <w:qFormat/>
    <w:uiPriority w:val="99"/>
    <w:rPr>
      <w:rFonts w:ascii="Times New Roman" w:hAnsi="Times New Roman" w:cs="Times New Roman"/>
      <w:szCs w:val="24"/>
    </w:rPr>
  </w:style>
  <w:style w:type="paragraph" w:styleId="8">
    <w:name w:val="footnote text"/>
    <w:basedOn w:val="1"/>
    <w:link w:val="16"/>
    <w:qFormat/>
    <w:uiPriority w:val="99"/>
    <w:pPr>
      <w:snapToGrid w:val="0"/>
      <w:jc w:val="left"/>
    </w:pPr>
    <w:rPr>
      <w:rFonts w:cs="Times New Roman"/>
      <w:sz w:val="18"/>
      <w:szCs w:val="18"/>
    </w:rPr>
  </w:style>
  <w:style w:type="paragraph" w:styleId="9">
    <w:name w:val="toc 2"/>
    <w:basedOn w:val="1"/>
    <w:next w:val="1"/>
    <w:qFormat/>
    <w:uiPriority w:val="99"/>
    <w:pPr>
      <w:ind w:left="200" w:leftChars="200"/>
    </w:pPr>
    <w:rPr>
      <w:rFonts w:ascii="Times New Roman" w:hAnsi="Times New Roman" w:cs="Times New Roman"/>
      <w:szCs w:val="24"/>
    </w:rPr>
  </w:style>
  <w:style w:type="character" w:styleId="12">
    <w:name w:val="footnote reference"/>
    <w:basedOn w:val="11"/>
    <w:qFormat/>
    <w:uiPriority w:val="99"/>
    <w:rPr>
      <w:rFonts w:cs="Times New Roman"/>
      <w:vertAlign w:val="superscript"/>
    </w:rPr>
  </w:style>
  <w:style w:type="character" w:customStyle="1" w:styleId="13">
    <w:name w:val="Balloon Text Char"/>
    <w:basedOn w:val="11"/>
    <w:link w:val="4"/>
    <w:semiHidden/>
    <w:locked/>
    <w:uiPriority w:val="99"/>
    <w:rPr>
      <w:rFonts w:ascii="Calibri" w:hAnsi="Calibri" w:cs="Arial"/>
      <w:sz w:val="2"/>
    </w:rPr>
  </w:style>
  <w:style w:type="character" w:customStyle="1" w:styleId="14">
    <w:name w:val="Footer Char"/>
    <w:basedOn w:val="11"/>
    <w:link w:val="5"/>
    <w:semiHidden/>
    <w:qFormat/>
    <w:locked/>
    <w:uiPriority w:val="99"/>
    <w:rPr>
      <w:rFonts w:ascii="Calibri" w:hAnsi="Calibri" w:cs="Arial"/>
      <w:sz w:val="18"/>
      <w:szCs w:val="18"/>
    </w:rPr>
  </w:style>
  <w:style w:type="character" w:customStyle="1" w:styleId="15">
    <w:name w:val="Header Char"/>
    <w:basedOn w:val="11"/>
    <w:link w:val="6"/>
    <w:semiHidden/>
    <w:qFormat/>
    <w:locked/>
    <w:uiPriority w:val="99"/>
    <w:rPr>
      <w:rFonts w:ascii="Calibri" w:hAnsi="Calibri" w:cs="Arial"/>
      <w:sz w:val="18"/>
      <w:szCs w:val="18"/>
    </w:rPr>
  </w:style>
  <w:style w:type="character" w:customStyle="1" w:styleId="16">
    <w:name w:val="Footnote Text Char"/>
    <w:basedOn w:val="11"/>
    <w:link w:val="8"/>
    <w:semiHidden/>
    <w:qFormat/>
    <w:locked/>
    <w:uiPriority w:val="99"/>
    <w:rPr>
      <w:rFonts w:ascii="Calibri" w:hAnsi="Calibri" w:cs="Arial"/>
      <w:sz w:val="18"/>
      <w:szCs w:val="18"/>
    </w:rPr>
  </w:style>
  <w:style w:type="paragraph" w:customStyle="1" w:styleId="17">
    <w:name w:val="Default"/>
    <w:qFormat/>
    <w:uiPriority w:val="99"/>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character" w:customStyle="1" w:styleId="18">
    <w:name w:val="Body Text Indent 2 Char"/>
    <w:basedOn w:val="11"/>
    <w:link w:val="3"/>
    <w:semiHidden/>
    <w:qFormat/>
    <w:locked/>
    <w:uiPriority w:val="99"/>
    <w:rPr>
      <w:rFonts w:ascii="Calibri" w:hAnsi="Calibri" w:cs="Arial"/>
    </w:rPr>
  </w:style>
  <w:style w:type="character" w:customStyle="1" w:styleId="19">
    <w:name w:val="Body Text Indent Char"/>
    <w:basedOn w:val="11"/>
    <w:link w:val="2"/>
    <w:semiHidden/>
    <w:qFormat/>
    <w:locked/>
    <w:uiPriority w:val="99"/>
    <w:rPr>
      <w:rFonts w:ascii="Calibri" w:hAnsi="Calibri" w:cs="Arial"/>
    </w:rPr>
  </w:style>
  <w:style w:type="paragraph" w:customStyle="1" w:styleId="20">
    <w:name w:val="单元格样式1"/>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1">
    <w:name w:val="单元格样式6"/>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2">
    <w:name w:val="单元格样式7"/>
    <w:basedOn w:val="1"/>
    <w:qFormat/>
    <w:uiPriority w:val="0"/>
    <w:pPr>
      <w:widowControl/>
      <w:jc w:val="right"/>
    </w:pPr>
    <w:rPr>
      <w:rFonts w:ascii="方正书宋_GBK" w:hAnsi="方正书宋_GBK" w:eastAsia="方正书宋_GBK" w:cs="方正书宋_GBK"/>
      <w:b/>
      <w:kern w:val="0"/>
      <w:szCs w:val="24"/>
      <w:lang w:eastAsia="uk-UA"/>
    </w:rPr>
  </w:style>
  <w:style w:type="paragraph" w:customStyle="1" w:styleId="23">
    <w:name w:val="单元格样式5"/>
    <w:basedOn w:val="1"/>
    <w:qFormat/>
    <w:uiPriority w:val="0"/>
    <w:pPr>
      <w:widowControl/>
      <w:jc w:val="left"/>
    </w:pPr>
    <w:rPr>
      <w:rFonts w:ascii="方正书宋_GBK" w:hAnsi="方正书宋_GBK" w:eastAsia="方正书宋_GBK" w:cs="方正书宋_GBK"/>
      <w:b/>
      <w:kern w:val="0"/>
      <w:szCs w:val="24"/>
      <w:lang w:eastAsia="uk-UA"/>
    </w:rPr>
  </w:style>
  <w:style w:type="paragraph" w:customStyle="1" w:styleId="24">
    <w:name w:val="单元格样式2"/>
    <w:basedOn w:val="1"/>
    <w:qFormat/>
    <w:uiPriority w:val="0"/>
    <w:pPr>
      <w:widowControl/>
      <w:jc w:val="left"/>
    </w:pPr>
    <w:rPr>
      <w:rFonts w:ascii="方正书宋_GBK" w:hAnsi="方正书宋_GBK" w:eastAsia="方正书宋_GBK" w:cs="方正书宋_GBK"/>
      <w:kern w:val="0"/>
      <w:szCs w:val="24"/>
      <w:lang w:eastAsia="uk-UA"/>
    </w:rPr>
  </w:style>
  <w:style w:type="paragraph" w:customStyle="1" w:styleId="25">
    <w:name w:val="单元格样式4"/>
    <w:basedOn w:val="1"/>
    <w:qFormat/>
    <w:uiPriority w:val="0"/>
    <w:pPr>
      <w:widowControl/>
      <w:jc w:val="right"/>
    </w:pPr>
    <w:rPr>
      <w:rFonts w:ascii="方正书宋_GBK" w:hAnsi="方正书宋_GBK" w:eastAsia="方正书宋_GBK" w:cs="方正书宋_GBK"/>
      <w:kern w:val="0"/>
      <w:szCs w:val="24"/>
      <w:lang w:eastAsia="uk-UA"/>
    </w:rPr>
  </w:style>
  <w:style w:type="paragraph" w:customStyle="1" w:styleId="26">
    <w:name w:val="单元格样式3"/>
    <w:basedOn w:val="1"/>
    <w:qFormat/>
    <w:uiPriority w:val="0"/>
    <w:pPr>
      <w:widowControl/>
      <w:jc w:val="center"/>
    </w:pPr>
    <w:rPr>
      <w:rFonts w:ascii="方正书宋_GBK" w:hAnsi="方正书宋_GBK" w:eastAsia="方正书宋_GBK" w:cs="方正书宋_GBK"/>
      <w:kern w:val="0"/>
      <w:szCs w:val="24"/>
      <w:lang w:eastAsia="uk-U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Microsoft</Company>
  <Pages>14</Pages>
  <Words>600</Words>
  <Characters>3423</Characters>
  <Lines>0</Lines>
  <Paragraphs>0</Paragraphs>
  <TotalTime>3</TotalTime>
  <ScaleCrop>false</ScaleCrop>
  <LinksUpToDate>false</LinksUpToDate>
  <CharactersWithSpaces>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2020-01-13T03:27:00Z</dcterms:created>
  <dc:creator>guest</dc:creator>
  <cp:lastModifiedBy>CXL</cp:lastModifiedBy>
  <cp:lastPrinted>2018-01-30T06:12:00Z</cp:lastPrinted>
  <dcterms:modified xsi:type="dcterms:W3CDTF">2023-08-14T09:22:09Z</dcterms:modified>
  <cp:revision>111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CD599197B2BA43BF99AEF791E13FDA28</vt:lpwstr>
  </property>
</Properties>
</file>