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广阳区群众艺术馆</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广阳区群众艺术馆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bookmarkStart w:id="8" w:name="_GoBack"/>
      <w:bookmarkEnd w:id="8"/>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1、面向基层，宣传、普及文化艺术知识，辅导群众业余文化艺术活动，培养基层群众文艺骨干，组织开展各类群众文化艺术培训，不断提高全区群众文化活动水平。</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2、坚持“二为”方向，“双百方针”和“精品”战略，组织专业、业余文化艺术工作者开展创作，排演文艺节目，积极唱响主旋律。</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3、组织开展文化艺术研究活动，挖掘、整理、保护辖区民族民间文化艺术遗产</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4、围绕全区中心工作，开展丰富多彩的群众文化艺术活动，创新群众文化艺术活动形式，举办文艺演出、文艺展览、文艺比赛等。巩固和完善城乡文化阵地，积极开展各项馆办活动，深入开展文化下乡活动，不断满足人民群众日益增长的文化生活需求。   </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3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35"/>
        <w:gridCol w:w="1731"/>
        <w:gridCol w:w="1281"/>
        <w:gridCol w:w="35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83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73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8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50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835" w:type="dxa"/>
            <w:vMerge w:val="continue"/>
            <w:shd w:val="clear" w:color="auto" w:fill="auto"/>
            <w:vAlign w:val="center"/>
          </w:tcPr>
          <w:p/>
        </w:tc>
        <w:tc>
          <w:tcPr>
            <w:tcW w:w="1731" w:type="dxa"/>
            <w:vMerge w:val="continue"/>
            <w:shd w:val="clear" w:color="auto" w:fill="auto"/>
            <w:vAlign w:val="center"/>
          </w:tcPr>
          <w:p/>
        </w:tc>
        <w:tc>
          <w:tcPr>
            <w:tcW w:w="1281" w:type="dxa"/>
            <w:vMerge w:val="continue"/>
            <w:shd w:val="clear" w:color="auto" w:fill="auto"/>
            <w:vAlign w:val="center"/>
          </w:tcPr>
          <w:p/>
        </w:tc>
        <w:tc>
          <w:tcPr>
            <w:tcW w:w="3506"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35" w:type="dxa"/>
            <w:shd w:val="clear" w:color="auto" w:fill="auto"/>
            <w:vAlign w:val="center"/>
          </w:tcPr>
          <w:p>
            <w:pPr>
              <w:spacing w:line="584" w:lineRule="exact"/>
              <w:rPr>
                <w:rFonts w:ascii="Times New Roman" w:hAnsi="Times New Roman" w:eastAsia="仿宋_GB2312" w:cs="Times New Roman"/>
                <w:sz w:val="22"/>
              </w:rPr>
            </w:pPr>
            <w:r>
              <w:rPr>
                <w:rFonts w:hint="eastAsia" w:ascii="Times New Roman" w:hAnsi="Times New Roman" w:eastAsia="仿宋_GB2312" w:cs="Times New Roman"/>
                <w:sz w:val="22"/>
              </w:rPr>
              <w:t>廊坊市广阳区群众艺术馆</w:t>
            </w:r>
          </w:p>
        </w:tc>
        <w:tc>
          <w:tcPr>
            <w:tcW w:w="1731" w:type="dxa"/>
            <w:shd w:val="clear" w:color="auto" w:fill="auto"/>
            <w:vAlign w:val="center"/>
          </w:tcPr>
          <w:p>
            <w:pPr>
              <w:spacing w:line="584" w:lineRule="exact"/>
              <w:rPr>
                <w:rFonts w:ascii="Times New Roman" w:hAnsi="Times New Roman" w:eastAsia="仿宋_GB2312" w:cs="Times New Roman"/>
                <w:sz w:val="22"/>
              </w:rPr>
            </w:pPr>
            <w:r>
              <w:rPr>
                <w:rFonts w:hint="eastAsia" w:ascii="Times New Roman" w:hAnsi="Times New Roman" w:eastAsia="仿宋_GB2312" w:cs="Times New Roman"/>
                <w:sz w:val="22"/>
              </w:rPr>
              <w:t>全额事业</w:t>
            </w:r>
          </w:p>
        </w:tc>
        <w:tc>
          <w:tcPr>
            <w:tcW w:w="1281" w:type="dxa"/>
            <w:shd w:val="clear" w:color="auto" w:fill="auto"/>
            <w:vAlign w:val="center"/>
          </w:tcPr>
          <w:p>
            <w:pPr>
              <w:spacing w:line="584" w:lineRule="exact"/>
              <w:rPr>
                <w:rFonts w:ascii="Times New Roman" w:hAnsi="Times New Roman" w:eastAsia="仿宋_GB2312" w:cs="Times New Roman"/>
                <w:sz w:val="22"/>
              </w:rPr>
            </w:pPr>
            <w:r>
              <w:rPr>
                <w:rFonts w:hint="eastAsia" w:ascii="Times New Roman" w:hAnsi="Times New Roman" w:eastAsia="仿宋_GB2312" w:cs="Times New Roman"/>
                <w:sz w:val="22"/>
              </w:rPr>
              <w:t>正股级</w:t>
            </w:r>
          </w:p>
        </w:tc>
        <w:tc>
          <w:tcPr>
            <w:tcW w:w="3506" w:type="dxa"/>
            <w:shd w:val="clear" w:color="auto" w:fill="auto"/>
            <w:vAlign w:val="center"/>
          </w:tcPr>
          <w:p>
            <w:pPr>
              <w:spacing w:line="584" w:lineRule="exact"/>
              <w:rPr>
                <w:rFonts w:ascii="Times New Roman" w:hAnsi="Times New Roman" w:eastAsia="仿宋_GB2312" w:cs="Times New Roman"/>
                <w:sz w:val="22"/>
              </w:rPr>
            </w:pPr>
            <w:r>
              <w:rPr>
                <w:rFonts w:hint="eastAsia" w:ascii="Times New Roman" w:hAnsi="Times New Roman" w:eastAsia="仿宋_GB2312" w:cs="Times New Roman"/>
                <w:sz w:val="22"/>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广阳区群众艺术馆</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242.65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232.98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9.67万元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广阳区群众艺术馆2022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242.65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210.58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203.58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32.07</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242.65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0.68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0.68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w:t>
      </w:r>
    </w:p>
    <w:p>
      <w:pPr>
        <w:pStyle w:val="19"/>
        <w:numPr>
          <w:ilvl w:val="0"/>
          <w:numId w:val="1"/>
        </w:numPr>
        <w:autoSpaceDE w:val="0"/>
        <w:autoSpaceDN w:val="0"/>
        <w:adjustRightInd w:val="0"/>
        <w:spacing w:line="584" w:lineRule="exact"/>
        <w:ind w:firstLineChars="0"/>
        <w:jc w:val="left"/>
        <w:rPr>
          <w:rFonts w:ascii="Times New Roman" w:hAnsi="Times New Roman" w:eastAsia="黑体" w:cs="Times New Roman"/>
          <w:sz w:val="32"/>
          <w:szCs w:val="32"/>
        </w:rPr>
      </w:pPr>
      <w:r>
        <w:rPr>
          <w:rFonts w:ascii="Times New Roman" w:hAnsi="Times New Roman" w:eastAsia="黑体" w:cs="Times New Roman"/>
          <w:sz w:val="32"/>
          <w:szCs w:val="32"/>
        </w:rPr>
        <w:t>机关运行经费安排情况</w:t>
      </w:r>
    </w:p>
    <w:p>
      <w:pPr>
        <w:pStyle w:val="19"/>
        <w:autoSpaceDE w:val="0"/>
        <w:autoSpaceDN w:val="0"/>
        <w:adjustRightInd w:val="0"/>
        <w:spacing w:line="584" w:lineRule="exact"/>
        <w:ind w:left="320"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机关运行经费共计安排7万元，主要用于</w:t>
      </w:r>
      <w:r>
        <w:rPr>
          <w:rFonts w:hint="eastAsia" w:ascii="Times New Roman" w:hAnsi="Times New Roman" w:eastAsia="仿宋_GB2312" w:cs="Times New Roman"/>
          <w:sz w:val="32"/>
          <w:szCs w:val="32"/>
        </w:rPr>
        <w:t>机关大楼</w:t>
      </w:r>
      <w:r>
        <w:rPr>
          <w:rFonts w:ascii="Times New Roman" w:hAnsi="Times New Roman" w:eastAsia="仿宋_GB2312" w:cs="Times New Roman"/>
          <w:sz w:val="32"/>
          <w:szCs w:val="32"/>
        </w:rPr>
        <w:t>办公区的日常维修、办公用房水电费、办公用房物业管理费等日常运行支出。</w:t>
      </w:r>
    </w:p>
    <w:p>
      <w:pPr>
        <w:numPr>
          <w:ilvl w:val="0"/>
          <w:numId w:val="2"/>
        </w:numPr>
        <w:autoSpaceDE w:val="0"/>
        <w:autoSpaceDN w:val="0"/>
        <w:adjustRightInd w:val="0"/>
        <w:spacing w:line="584" w:lineRule="exact"/>
        <w:ind w:firstLine="627" w:firstLineChars="196"/>
        <w:jc w:val="left"/>
        <w:rPr>
          <w:rFonts w:ascii="黑体" w:hAnsi="黑体" w:eastAsia="黑体" w:cs="Times New Roman"/>
          <w:sz w:val="32"/>
          <w:szCs w:val="32"/>
        </w:rPr>
      </w:pPr>
      <w:r>
        <w:rPr>
          <w:rFonts w:ascii="黑体" w:hAnsi="黑体" w:eastAsia="黑体" w:cs="Times New Roman"/>
          <w:sz w:val="32"/>
          <w:szCs w:val="32"/>
        </w:rPr>
        <w:t>财政拨款“三公”经费预算情况及增减变化原因</w:t>
      </w:r>
    </w:p>
    <w:p>
      <w:pPr>
        <w:autoSpaceDE w:val="0"/>
        <w:autoSpaceDN w:val="0"/>
        <w:adjustRightInd w:val="0"/>
        <w:spacing w:line="584" w:lineRule="exact"/>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万元；公务用车购置及运维费0万元（其中：公务用车购置费为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万元，公务用车运维费0万元)；公务接待费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keepNext w:val="0"/>
        <w:keepLines w:val="0"/>
        <w:pageBreakBefore w:val="0"/>
        <w:widowControl w:val="0"/>
        <w:kinsoku/>
        <w:wordWrap/>
        <w:topLinePunct w:val="0"/>
        <w:autoSpaceDE w:val="0"/>
        <w:autoSpaceDN w:val="0"/>
        <w:bidi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topLinePunct w:val="0"/>
        <w:bidi w:val="0"/>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topLinePunct w:val="0"/>
        <w:bidi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topLinePunct w:val="0"/>
        <w:bidi w:val="0"/>
        <w:spacing w:line="584" w:lineRule="exact"/>
        <w:ind w:firstLine="960" w:firstLineChars="300"/>
        <w:rPr>
          <w:rFonts w:ascii="仿宋" w:hAnsi="仿宋" w:eastAsia="仿宋" w:cs="仿宋"/>
          <w:bCs/>
          <w:sz w:val="32"/>
          <w:szCs w:val="32"/>
        </w:rPr>
      </w:pPr>
      <w:r>
        <w:rPr>
          <w:rFonts w:hint="eastAsia" w:ascii="仿宋" w:hAnsi="仿宋" w:eastAsia="仿宋" w:cs="仿宋"/>
          <w:bCs/>
          <w:sz w:val="32"/>
          <w:szCs w:val="32"/>
        </w:rPr>
        <w:t>1、引导和支持地方提供基本公共文化服务项目，改善基层公共文化体育设施条件，加强基层公共文化服务人才队伍建设等，支出加快构建现代公共文化服务体系，促进基本公共文化服务标准化、均等化。</w:t>
      </w:r>
    </w:p>
    <w:p>
      <w:pPr>
        <w:keepNext w:val="0"/>
        <w:keepLines w:val="0"/>
        <w:pageBreakBefore w:val="0"/>
        <w:widowControl w:val="0"/>
        <w:kinsoku/>
        <w:wordWrap/>
        <w:topLinePunct w:val="0"/>
        <w:bidi w:val="0"/>
        <w:spacing w:line="584" w:lineRule="exact"/>
        <w:ind w:firstLine="960" w:firstLineChars="300"/>
        <w:rPr>
          <w:rFonts w:ascii="仿宋" w:hAnsi="仿宋" w:eastAsia="仿宋" w:cs="仿宋"/>
          <w:bCs/>
          <w:sz w:val="32"/>
          <w:szCs w:val="32"/>
        </w:rPr>
      </w:pPr>
      <w:r>
        <w:rPr>
          <w:rFonts w:hint="eastAsia" w:ascii="仿宋" w:hAnsi="仿宋" w:eastAsia="仿宋" w:cs="仿宋"/>
          <w:bCs/>
          <w:sz w:val="32"/>
          <w:szCs w:val="32"/>
        </w:rPr>
        <w:t>2、举办普及性文化艺术类培训项目，举办公益性性讲座，开展宣传活动民间文化传承活动，小型修缮，零星业务设备更新等。</w:t>
      </w:r>
    </w:p>
    <w:p>
      <w:pPr>
        <w:keepNext w:val="0"/>
        <w:keepLines w:val="0"/>
        <w:pageBreakBefore w:val="0"/>
        <w:widowControl w:val="0"/>
        <w:kinsoku/>
        <w:wordWrap/>
        <w:topLinePunct w:val="0"/>
        <w:bidi w:val="0"/>
        <w:spacing w:line="584" w:lineRule="exact"/>
        <w:ind w:firstLine="960" w:firstLineChars="300"/>
        <w:rPr>
          <w:rFonts w:ascii="仿宋" w:hAnsi="仿宋" w:eastAsia="仿宋" w:cs="仿宋"/>
          <w:bCs/>
          <w:sz w:val="32"/>
          <w:szCs w:val="32"/>
        </w:rPr>
      </w:pPr>
      <w:r>
        <w:rPr>
          <w:rFonts w:hint="eastAsia" w:ascii="仿宋" w:hAnsi="仿宋" w:eastAsia="仿宋" w:cs="仿宋"/>
          <w:bCs/>
          <w:sz w:val="32"/>
          <w:szCs w:val="32"/>
        </w:rPr>
        <w:t>3、非遗文化保护</w:t>
      </w:r>
    </w:p>
    <w:p>
      <w:pPr>
        <w:keepNext w:val="0"/>
        <w:keepLines w:val="0"/>
        <w:pageBreakBefore w:val="0"/>
        <w:widowControl w:val="0"/>
        <w:kinsoku/>
        <w:wordWrap/>
        <w:topLinePunct w:val="0"/>
        <w:bidi w:val="0"/>
        <w:spacing w:line="584" w:lineRule="exact"/>
        <w:ind w:firstLine="640" w:firstLineChars="200"/>
        <w:rPr>
          <w:rFonts w:ascii="仿宋" w:hAnsi="仿宋" w:eastAsia="仿宋" w:cs="仿宋"/>
          <w:bCs/>
          <w:sz w:val="32"/>
          <w:szCs w:val="32"/>
        </w:rPr>
      </w:pPr>
      <w:r>
        <w:rPr>
          <w:rFonts w:hint="eastAsia" w:ascii="仿宋" w:hAnsi="仿宋" w:eastAsia="仿宋" w:cs="仿宋"/>
          <w:bCs/>
          <w:sz w:val="32"/>
          <w:szCs w:val="32"/>
        </w:rPr>
        <w:t>对省级非遗代表性项目年度重点项目、省级代表性传承人传承活动进行补助，主要用于补助省级非物质文化遗产代表性项目相关的调查研究、传承人记录和保存、传承人群研修研习培训、理论及技艺研究、出版、展示推广、民俗活动支出以及省级代表性传承人开展传习活动等，推动非遗传承保护。</w:t>
      </w:r>
    </w:p>
    <w:p>
      <w:pPr>
        <w:keepNext w:val="0"/>
        <w:keepLines w:val="0"/>
        <w:pageBreakBefore w:val="0"/>
        <w:widowControl w:val="0"/>
        <w:kinsoku/>
        <w:wordWrap/>
        <w:topLinePunct w:val="0"/>
        <w:bidi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topLinePunct w:val="0"/>
        <w:bidi w:val="0"/>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确保群艺馆全年免费开放，促进基本公共文化服务标准化均等化，保障群众基本文化权益。提高公共文化服务水平、推动公共文化服务体系建设，让广大群众免费培训、参加文化鉴赏活动，共享文化发展成果，满足人民群众精神文化需求。</w:t>
      </w:r>
    </w:p>
    <w:p>
      <w:pPr>
        <w:keepNext w:val="0"/>
        <w:keepLines w:val="0"/>
        <w:pageBreakBefore w:val="0"/>
        <w:widowControl w:val="0"/>
        <w:kinsoku/>
        <w:wordWrap/>
        <w:topLinePunct w:val="0"/>
        <w:bidi w:val="0"/>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2、组织开展文化艺术研究活动，加强对非遗项目的挖掘和保护，推进非遗进进景区、进社区、进乡村、进校园，进一步提升非遗保护利用水平，夯实非遗保护传承和发展的社会基础。</w:t>
      </w:r>
    </w:p>
    <w:p>
      <w:pPr>
        <w:keepNext w:val="0"/>
        <w:keepLines w:val="0"/>
        <w:pageBreakBefore w:val="0"/>
        <w:widowControl w:val="0"/>
        <w:kinsoku/>
        <w:wordWrap/>
        <w:topLinePunct w:val="0"/>
        <w:bidi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topLinePunct w:val="0"/>
        <w:bidi w:val="0"/>
        <w:spacing w:line="584"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1、加强组织领导。落实主管单位文广旅局职能统一部署和工作安排，加大群艺馆综合管理水平。建立健全局群艺馆分工负责的工作机制，从而形成合力，共同推动各项工作的实施。</w:t>
      </w:r>
    </w:p>
    <w:p>
      <w:pPr>
        <w:keepNext w:val="0"/>
        <w:keepLines w:val="0"/>
        <w:pageBreakBefore w:val="0"/>
        <w:widowControl w:val="0"/>
        <w:kinsoku/>
        <w:wordWrap/>
        <w:topLinePunct w:val="0"/>
        <w:bidi w:val="0"/>
        <w:spacing w:line="584"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落实投入资金。充分发挥政府在文化馆免费开放及文化惠民工程中的主导作用，建立提升公共文化需求建设的刚性投入机制，为文化活动开展提供财力保障。将文化馆免费开放及文化惠民工程以及维护、管理资金，列入基本投资计划和财政预算，对各项目进行分解，明确责任主体、落实建设经费。</w:t>
      </w:r>
    </w:p>
    <w:p>
      <w:pPr>
        <w:keepNext w:val="0"/>
        <w:keepLines w:val="0"/>
        <w:pageBreakBefore w:val="0"/>
        <w:widowControl w:val="0"/>
        <w:kinsoku/>
        <w:wordWrap/>
        <w:topLinePunct w:val="0"/>
        <w:bidi w:val="0"/>
        <w:spacing w:line="584"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3、建立反馈机制。建立以群众需求为导向的动态评价和反馈机制，使公共文化围绕群众需要提供服务、根据</w:t>
      </w:r>
      <w:bookmarkStart w:id="0" w:name="baidusnap4"/>
      <w:bookmarkEnd w:id="0"/>
      <w:r>
        <w:rPr>
          <w:rFonts w:hint="eastAsia" w:ascii="仿宋" w:hAnsi="仿宋" w:eastAsia="仿宋" w:cs="仿宋"/>
          <w:sz w:val="32"/>
          <w:szCs w:val="32"/>
        </w:rPr>
        <w:t>群众评价改进服务，从而不断提升公共文化服务的针对性、吸引力和满意度，最大限度地发挥其公共文化服务职能。</w:t>
      </w:r>
    </w:p>
    <w:p>
      <w:pPr>
        <w:keepNext w:val="0"/>
        <w:keepLines w:val="0"/>
        <w:pageBreakBefore w:val="0"/>
        <w:widowControl w:val="0"/>
        <w:kinsoku/>
        <w:wordWrap/>
        <w:topLinePunct w:val="0"/>
        <w:bidi w:val="0"/>
        <w:spacing w:line="584"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4、强化目标考核。将文化工作的总体任务进行分解并纳入年度目标考核，使各部室进一步落实工作责任，明确工作任务、进度时间，确保按计划、按目标完成各项工作。对于完成较好、提前完成并通过检查验收的给予奖励，对于工作推动落实不力的，予以通报。 </w:t>
      </w:r>
    </w:p>
    <w:p>
      <w:pPr>
        <w:keepNext w:val="0"/>
        <w:keepLines w:val="0"/>
        <w:pageBreakBefore w:val="0"/>
        <w:widowControl w:val="0"/>
        <w:kinsoku/>
        <w:wordWrap/>
        <w:topLinePunct w:val="0"/>
        <w:bidi w:val="0"/>
        <w:spacing w:line="584" w:lineRule="exact"/>
        <w:ind w:firstLine="640" w:firstLineChars="200"/>
        <w:textAlignment w:val="baseline"/>
        <w:rPr>
          <w:rFonts w:ascii="楷体_GB2312" w:eastAsia="楷体_GB2312" w:cs="Times New Roman"/>
          <w:b/>
          <w:sz w:val="32"/>
          <w:szCs w:val="32"/>
        </w:rPr>
      </w:pPr>
      <w:r>
        <w:rPr>
          <w:rFonts w:hint="eastAsia" w:ascii="仿宋" w:hAnsi="仿宋" w:eastAsia="仿宋" w:cs="仿宋"/>
          <w:sz w:val="32"/>
          <w:szCs w:val="32"/>
        </w:rPr>
        <w:t>5、加强人才队伍建设。一是建立和完善奖励激励机制，调动馆员的积极性，二是加强文化辅导和培训，成立一支懂艺术、会管理的复合型人才队伍。三是建立文化志愿者服务体系，包含文化艺术行业的社会团体组织、文化艺术特长的社会人士、自愿服务群众文化活动的文化爱好者、天使之心的医务工作者。为文化事业繁荣、社会和谐发展提供公益性文化艺术服务。</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1134"/>
        <w:gridCol w:w="1559"/>
        <w:gridCol w:w="3812"/>
        <w:gridCol w:w="1668"/>
        <w:gridCol w:w="709"/>
        <w:gridCol w:w="709"/>
        <w:gridCol w:w="70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55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81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66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127"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2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tc>
        <w:tc>
          <w:tcPr>
            <w:tcW w:w="1134" w:type="dxa"/>
            <w:vMerge w:val="continue"/>
            <w:tcBorders>
              <w:tl2br w:val="nil"/>
              <w:tr2bl w:val="nil"/>
            </w:tcBorders>
            <w:vAlign w:val="center"/>
          </w:tcPr>
          <w:p/>
        </w:tc>
        <w:tc>
          <w:tcPr>
            <w:tcW w:w="1559" w:type="dxa"/>
            <w:vMerge w:val="continue"/>
            <w:tcBorders>
              <w:tl2br w:val="nil"/>
              <w:tr2bl w:val="nil"/>
            </w:tcBorders>
            <w:vAlign w:val="center"/>
          </w:tcPr>
          <w:p/>
        </w:tc>
        <w:tc>
          <w:tcPr>
            <w:tcW w:w="3812" w:type="dxa"/>
            <w:vMerge w:val="continue"/>
            <w:tcBorders>
              <w:tl2br w:val="nil"/>
              <w:tr2bl w:val="nil"/>
            </w:tcBorders>
            <w:vAlign w:val="center"/>
          </w:tcPr>
          <w:p/>
        </w:tc>
        <w:tc>
          <w:tcPr>
            <w:tcW w:w="1668" w:type="dxa"/>
            <w:vMerge w:val="continue"/>
            <w:tcBorders>
              <w:tl2br w:val="nil"/>
              <w:tr2bl w:val="nil"/>
            </w:tcBorders>
            <w:vAlign w:val="center"/>
          </w:tcPr>
          <w:p/>
        </w:tc>
        <w:tc>
          <w:tcPr>
            <w:tcW w:w="7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2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55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免费开放时间</w:t>
            </w:r>
          </w:p>
        </w:tc>
        <w:tc>
          <w:tcPr>
            <w:tcW w:w="381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达到标准得满分215分，未达到不得分</w:t>
            </w:r>
          </w:p>
        </w:tc>
        <w:tc>
          <w:tcPr>
            <w:tcW w:w="166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320天2400小时</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2400</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小时</w:t>
            </w:r>
          </w:p>
        </w:tc>
        <w:tc>
          <w:tcPr>
            <w:tcW w:w="132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质</w:t>
            </w:r>
            <w:r>
              <w:rPr>
                <w:rFonts w:ascii="方正书宋_GBK" w:eastAsia="方正书宋_GBK"/>
              </w:rPr>
              <w:t>量</w:t>
            </w:r>
          </w:p>
        </w:tc>
        <w:tc>
          <w:tcPr>
            <w:tcW w:w="155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各项业务活动举办成功率</w:t>
            </w:r>
          </w:p>
        </w:tc>
        <w:tc>
          <w:tcPr>
            <w:tcW w:w="381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比率达90%（含）以上的得15分，80%（含）-90%得9分，70%（含）-60%得6分，60%以下不得分</w:t>
            </w:r>
          </w:p>
        </w:tc>
        <w:tc>
          <w:tcPr>
            <w:tcW w:w="166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各项业务活动举办成功完成占总活动数的比率</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95</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百分比</w:t>
            </w:r>
          </w:p>
        </w:tc>
        <w:tc>
          <w:tcPr>
            <w:tcW w:w="132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155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工作时效</w:t>
            </w:r>
          </w:p>
        </w:tc>
        <w:tc>
          <w:tcPr>
            <w:tcW w:w="381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达到标准得满分15分，未达到不得分</w:t>
            </w:r>
          </w:p>
        </w:tc>
        <w:tc>
          <w:tcPr>
            <w:tcW w:w="166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工作完成时间</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12</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个月</w:t>
            </w:r>
          </w:p>
        </w:tc>
        <w:tc>
          <w:tcPr>
            <w:tcW w:w="132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成本</w:t>
            </w:r>
          </w:p>
        </w:tc>
        <w:tc>
          <w:tcPr>
            <w:tcW w:w="155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补助标准合规性</w:t>
            </w:r>
          </w:p>
        </w:tc>
        <w:tc>
          <w:tcPr>
            <w:tcW w:w="381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达到预期目标得满分15分，每偏离1%扣1%权重分</w:t>
            </w:r>
          </w:p>
        </w:tc>
        <w:tc>
          <w:tcPr>
            <w:tcW w:w="166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财政投入</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20</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万元</w:t>
            </w:r>
          </w:p>
        </w:tc>
        <w:tc>
          <w:tcPr>
            <w:tcW w:w="132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财教【2013】98号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55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群众对公共文化活动的参与率</w:t>
            </w:r>
          </w:p>
        </w:tc>
        <w:tc>
          <w:tcPr>
            <w:tcW w:w="381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比率达90%（含）以上的得10分，80%（含）-90%得9分，70%（含）-60%得6分，60%以下不得分</w:t>
            </w:r>
          </w:p>
        </w:tc>
        <w:tc>
          <w:tcPr>
            <w:tcW w:w="166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群众对公共文化活动完成情况</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90</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百分比</w:t>
            </w:r>
          </w:p>
        </w:tc>
        <w:tc>
          <w:tcPr>
            <w:tcW w:w="132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98" w:type="dxa"/>
            <w:vMerge w:val="continue"/>
            <w:tcBorders>
              <w:tl2br w:val="nil"/>
              <w:tr2bl w:val="nil"/>
            </w:tcBorders>
            <w:vAlign w:val="center"/>
          </w:tcPr>
          <w:p/>
        </w:tc>
        <w:tc>
          <w:tcPr>
            <w:tcW w:w="1134"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559"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免费开放服务水平稳步提升</w:t>
            </w:r>
          </w:p>
        </w:tc>
        <w:tc>
          <w:tcPr>
            <w:tcW w:w="3812"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达到标准得满分10分，未达到不得分</w:t>
            </w:r>
          </w:p>
        </w:tc>
        <w:tc>
          <w:tcPr>
            <w:tcW w:w="1668"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免费开放服务水平稳步提升</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文字描述</w:t>
            </w: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709"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逐步提升</w:t>
            </w:r>
          </w:p>
        </w:tc>
        <w:tc>
          <w:tcPr>
            <w:tcW w:w="132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559"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受益群众满意度</w:t>
            </w:r>
          </w:p>
        </w:tc>
        <w:tc>
          <w:tcPr>
            <w:tcW w:w="3812"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比率达90%（含）以上的得20分，80%（含）-90%得18分，70%（含）-60%得15分，60%以下不得分</w:t>
            </w:r>
          </w:p>
        </w:tc>
        <w:tc>
          <w:tcPr>
            <w:tcW w:w="1668"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受益群众满意度</w:t>
            </w:r>
          </w:p>
        </w:tc>
        <w:tc>
          <w:tcPr>
            <w:tcW w:w="70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w:t>
            </w:r>
          </w:p>
        </w:tc>
        <w:tc>
          <w:tcPr>
            <w:tcW w:w="70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90</w:t>
            </w:r>
          </w:p>
        </w:tc>
        <w:tc>
          <w:tcPr>
            <w:tcW w:w="70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百分比</w:t>
            </w:r>
          </w:p>
        </w:tc>
        <w:tc>
          <w:tcPr>
            <w:tcW w:w="132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Cs w:val="21"/>
              </w:rPr>
              <w:t>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1.“三馆一站”免费开放区级资金绩效目标表</w:t>
      </w:r>
      <w:bookmarkStart w:id="1" w:name="_Toc29799657"/>
      <w:bookmarkEnd w:id="1"/>
      <w:r>
        <w:rPr>
          <w:rFonts w:hint="eastAsia" w:ascii="仿宋_GB2312" w:hAnsi="仿宋_GB2312" w:eastAsia="仿宋_GB2312" w:cs="仿宋_GB2312"/>
          <w:vanish/>
          <w:sz w:val="28"/>
        </w:rPr>
        <w:t>{ TC 2、办公自动化（OA）和督查督办系统升级及推广费绩效目标表 \f C \l 1 }</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1.公共文化产品和生产服务能力提高</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2.基本公共文化服务水平不断提高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340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1843"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≥2400小时</w:t>
            </w:r>
          </w:p>
        </w:tc>
        <w:tc>
          <w:tcPr>
            <w:tcW w:w="21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340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1843"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工作时效</w:t>
            </w:r>
          </w:p>
        </w:tc>
        <w:tc>
          <w:tcPr>
            <w:tcW w:w="340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工作完成时间</w:t>
            </w:r>
          </w:p>
        </w:tc>
        <w:tc>
          <w:tcPr>
            <w:tcW w:w="1843"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=12个月</w:t>
            </w:r>
          </w:p>
        </w:tc>
        <w:tc>
          <w:tcPr>
            <w:tcW w:w="21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补助标准合规性</w:t>
            </w:r>
          </w:p>
        </w:tc>
        <w:tc>
          <w:tcPr>
            <w:tcW w:w="340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财政投入</w:t>
            </w:r>
          </w:p>
        </w:tc>
        <w:tc>
          <w:tcPr>
            <w:tcW w:w="1843"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3万元</w:t>
            </w:r>
          </w:p>
        </w:tc>
        <w:tc>
          <w:tcPr>
            <w:tcW w:w="21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社会效益</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群众对免费开放活动的参与率</w:t>
            </w:r>
          </w:p>
        </w:tc>
        <w:tc>
          <w:tcPr>
            <w:tcW w:w="340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群众对公共文化活动完成情况</w:t>
            </w:r>
          </w:p>
        </w:tc>
        <w:tc>
          <w:tcPr>
            <w:tcW w:w="1843"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可持续影响</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340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843"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逐步提升</w:t>
            </w:r>
          </w:p>
        </w:tc>
        <w:tc>
          <w:tcPr>
            <w:tcW w:w="21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340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843"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2.“三馆一站”免费开放市级资金绩效目标表</w:t>
      </w:r>
      <w:r>
        <w:rPr>
          <w:rFonts w:hint="eastAsia" w:ascii="仿宋_GB2312" w:hAnsi="仿宋_GB2312" w:eastAsia="仿宋_GB2312" w:cs="仿宋_GB2312"/>
          <w:vanish/>
          <w:sz w:val="28"/>
        </w:rPr>
        <w:t>{ TC 2、办公自动化（OA）和督查督办系统升级及推广费绩效目标表 \f C \l 1 }</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before="240" w:line="300" w:lineRule="exact"/>
              <w:rPr>
                <w:rFonts w:hint="eastAsia" w:ascii="仿宋_GB2312" w:hAnsi="仿宋_GB2312" w:eastAsia="仿宋_GB2312" w:cs="仿宋_GB2312"/>
                <w:b/>
              </w:rPr>
            </w:pPr>
            <w:r>
              <w:rPr>
                <w:rFonts w:hint="eastAsia" w:ascii="仿宋_GB2312" w:hAnsi="仿宋_GB2312" w:eastAsia="仿宋_GB2312" w:cs="仿宋_GB2312"/>
              </w:rPr>
              <w:t>1.通过群艺馆免费开放项目的开展，促进基本公共文化服务标准化、均等化。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≥2400小时</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工作时效</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工作完成时间</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=12个月</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补助标准合规性</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财政投入</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3万元</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社会效益</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群众对免费开放活动的参与率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群众对公共文化活动完成情况</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可持续影响</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逐步提升</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3.“三馆一站”免费开放省级资金绩效目标表</w:t>
      </w:r>
      <w:r>
        <w:rPr>
          <w:rFonts w:hint="eastAsia" w:ascii="仿宋_GB2312" w:hAnsi="仿宋_GB2312" w:eastAsia="仿宋_GB2312" w:cs="仿宋_GB2312"/>
          <w:vanish/>
          <w:sz w:val="28"/>
        </w:rPr>
        <w:t>{ TC 2、办公自动化（OA）和督查督办系统升级及推广费绩效目标表 \f C \l 1 }</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before="240" w:line="300" w:lineRule="exact"/>
              <w:rPr>
                <w:rFonts w:hint="eastAsia" w:ascii="仿宋_GB2312" w:hAnsi="仿宋_GB2312" w:eastAsia="仿宋_GB2312" w:cs="仿宋_GB2312"/>
                <w:b/>
              </w:rPr>
            </w:pPr>
            <w:r>
              <w:rPr>
                <w:rFonts w:hint="eastAsia" w:ascii="仿宋_GB2312" w:hAnsi="仿宋_GB2312" w:eastAsia="仿宋_GB2312" w:cs="仿宋_GB2312"/>
              </w:rPr>
              <w:t>1.通过群艺馆免费开放项目的开展，促进基本公共文化服务标准化、均等化。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≥2400小时</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工作时效</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工作完成时间</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=12个月</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补助标准合规性</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财政投入</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2万元</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社会效益</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群众对免费开放活动的参与率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群众对公共文化活动完成情况</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可持续影响</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逐步提升</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4.“三馆一站”免费开放中央资金绩效目标表</w:t>
      </w:r>
      <w:r>
        <w:rPr>
          <w:rFonts w:hint="eastAsia" w:ascii="仿宋_GB2312" w:hAnsi="仿宋_GB2312" w:eastAsia="仿宋_GB2312" w:cs="仿宋_GB2312"/>
          <w:vanish/>
          <w:sz w:val="28"/>
        </w:rPr>
        <w:t>{ TC 2、办公自动化（OA）和督查督办系统升级及推广费绩效目标表 \f C \l 1 }</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before="240"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1.公共文化产品和生产服务能力提高</w:t>
            </w:r>
          </w:p>
          <w:p>
            <w:pPr>
              <w:spacing w:before="240" w:line="300" w:lineRule="exact"/>
              <w:rPr>
                <w:rFonts w:hint="eastAsia" w:ascii="仿宋_GB2312" w:hAnsi="仿宋_GB2312" w:eastAsia="仿宋_GB2312" w:cs="仿宋_GB2312"/>
                <w:b/>
              </w:rPr>
            </w:pPr>
            <w:r>
              <w:rPr>
                <w:rFonts w:hint="eastAsia" w:ascii="仿宋_GB2312" w:hAnsi="仿宋_GB2312" w:eastAsia="仿宋_GB2312" w:cs="仿宋_GB2312"/>
                <w:b w:val="0"/>
                <w:bCs/>
              </w:rPr>
              <w:t>2.基本公共文化服务水平不断提高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≥2400小时</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工作时效</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工作完成时间</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=12个月</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补助标准合规性</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财政投入</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12万元</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社会效益</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群众对免费开放活动的参与率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群众对公共文化活动完成情况</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jc w:val="center"/>
              <w:rPr>
                <w:rFonts w:hint="eastAsia" w:ascii="仿宋_GB2312" w:hAnsi="仿宋_GB2312" w:eastAsia="仿宋_GB2312" w:cs="仿宋_GB2312"/>
              </w:rPr>
            </w:pP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可持续影响</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逐步提升</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lang w:val="en-US" w:eastAsia="zh-CN"/>
        </w:rPr>
      </w:pPr>
      <w:bookmarkStart w:id="2" w:name="_Toc_4_4_0000000018"/>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color w:val="000000"/>
          <w:sz w:val="28"/>
          <w:lang w:val="en-US" w:eastAsia="zh-CN"/>
        </w:rPr>
      </w:pPr>
    </w:p>
    <w:bookmarkEnd w:id="2"/>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bookmarkStart w:id="3" w:name="_Toc_4_4_0000000014"/>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.2021年“三馆一站”免费开放中央资金绩效目标表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w:t>
            </w:r>
          </w:p>
        </w:tc>
        <w:tc>
          <w:tcPr>
            <w:tcW w:w="7962"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1.公共文化产品和生产服务能力提高</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2.基本公共文化服务水平不断提高</w:t>
            </w:r>
          </w:p>
        </w:tc>
      </w:tr>
    </w:tbl>
    <w:p>
      <w:pPr>
        <w:spacing w:before="0" w:after="0" w:line="2" w:lineRule="exact"/>
        <w:ind w:firstLine="0"/>
        <w:jc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一级指标</w:t>
            </w:r>
          </w:p>
        </w:tc>
        <w:tc>
          <w:tcPr>
            <w:tcW w:w="1276"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1332"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三级指标</w:t>
            </w:r>
          </w:p>
        </w:tc>
        <w:tc>
          <w:tcPr>
            <w:tcW w:w="2891"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绩效指标描述</w:t>
            </w:r>
          </w:p>
        </w:tc>
        <w:tc>
          <w:tcPr>
            <w:tcW w:w="1276"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w:t>
            </w:r>
          </w:p>
        </w:tc>
        <w:tc>
          <w:tcPr>
            <w:tcW w:w="1843"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1332"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免费开放时间</w:t>
            </w:r>
          </w:p>
        </w:tc>
        <w:tc>
          <w:tcPr>
            <w:tcW w:w="2891"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320天2400小时</w:t>
            </w: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≥2400小时</w:t>
            </w:r>
          </w:p>
        </w:tc>
        <w:tc>
          <w:tcPr>
            <w:tcW w:w="184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sz w:val="21"/>
                <w:szCs w:val="21"/>
              </w:rPr>
            </w:pP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1332"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各项业务活动举办成功率</w:t>
            </w:r>
          </w:p>
        </w:tc>
        <w:tc>
          <w:tcPr>
            <w:tcW w:w="2891"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各项业务活动举办成功完成占总活动数的比率</w:t>
            </w: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≥90百分比</w:t>
            </w:r>
          </w:p>
        </w:tc>
        <w:tc>
          <w:tcPr>
            <w:tcW w:w="184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sz w:val="21"/>
                <w:szCs w:val="21"/>
              </w:rPr>
            </w:pP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332"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工作时效</w:t>
            </w:r>
          </w:p>
        </w:tc>
        <w:tc>
          <w:tcPr>
            <w:tcW w:w="2891"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工作完成的时间</w:t>
            </w: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≤12个月</w:t>
            </w:r>
          </w:p>
        </w:tc>
        <w:tc>
          <w:tcPr>
            <w:tcW w:w="184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sz w:val="21"/>
                <w:szCs w:val="21"/>
              </w:rPr>
            </w:pP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332"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补助标准合规性</w:t>
            </w:r>
          </w:p>
        </w:tc>
        <w:tc>
          <w:tcPr>
            <w:tcW w:w="2891"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用来描述项目开展是否符合文件要求的补贴标准</w:t>
            </w: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0.67万元</w:t>
            </w:r>
          </w:p>
        </w:tc>
        <w:tc>
          <w:tcPr>
            <w:tcW w:w="184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效益指标</w:t>
            </w: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1332"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群众对免费开放服务的参与率</w:t>
            </w:r>
          </w:p>
        </w:tc>
        <w:tc>
          <w:tcPr>
            <w:tcW w:w="2891"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群众对免费开放活动完成情况</w:t>
            </w: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≥90百分比</w:t>
            </w:r>
          </w:p>
        </w:tc>
        <w:tc>
          <w:tcPr>
            <w:tcW w:w="184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sz w:val="21"/>
                <w:szCs w:val="21"/>
              </w:rPr>
            </w:pP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可持续影响指标</w:t>
            </w:r>
          </w:p>
        </w:tc>
        <w:tc>
          <w:tcPr>
            <w:tcW w:w="1332"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免费开放水平稳步提升</w:t>
            </w:r>
          </w:p>
        </w:tc>
        <w:tc>
          <w:tcPr>
            <w:tcW w:w="2891"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免费开放水平稳步提升</w:t>
            </w: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逐步提升</w:t>
            </w:r>
          </w:p>
        </w:tc>
        <w:tc>
          <w:tcPr>
            <w:tcW w:w="184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1332"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受益群众满意度</w:t>
            </w:r>
          </w:p>
        </w:tc>
        <w:tc>
          <w:tcPr>
            <w:tcW w:w="2891"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参加文化站活动满意人数占所有参与活动总人数的比率</w:t>
            </w:r>
          </w:p>
        </w:tc>
        <w:tc>
          <w:tcPr>
            <w:tcW w:w="1276"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≥90百分比</w:t>
            </w:r>
          </w:p>
        </w:tc>
        <w:tc>
          <w:tcPr>
            <w:tcW w:w="184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15"/>
      <w:r>
        <w:rPr>
          <w:rFonts w:hint="eastAsia" w:ascii="仿宋_GB2312" w:hAnsi="仿宋_GB2312" w:eastAsia="仿宋_GB2312" w:cs="仿宋_GB2312"/>
          <w:color w:val="000000"/>
          <w:sz w:val="28"/>
          <w:lang w:val="en-US" w:eastAsia="zh-CN"/>
        </w:rPr>
        <w:t>6</w:t>
      </w:r>
      <w:r>
        <w:rPr>
          <w:rFonts w:hint="eastAsia" w:ascii="仿宋_GB2312" w:hAnsi="仿宋_GB2312" w:eastAsia="仿宋_GB2312" w:cs="仿宋_GB2312"/>
          <w:color w:val="000000"/>
          <w:sz w:val="28"/>
        </w:rPr>
        <w:t>.2021年市级非物质文化遗产保护专项资金绩效目标表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1.对市级非遗代表性项目保护当地的非物质文化遗产，保存文化的多样性，促进社会的和谐稳定可持续发展;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市级非遗代表项目保护个数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市级非遗代表性项目保护个数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4个</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市级非遗代表性项目保护完成率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非遗项目保护任务完成的个数占项目个数的比率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工作完成时间</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财政投入</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财政投入</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非遗保护与传承受益公众增长率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非遗保护与传承受益公众增长率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≥5百分比</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对中国优秀传统文化的影响</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对中国优秀传统文化的影响</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社会公众对非物质文化遗产保护的满意度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before="0" w:after="0" w:line="240" w:lineRule="auto"/>
        <w:ind w:firstLine="0"/>
        <w:jc w:val="center"/>
        <w:outlineLvl w:val="9"/>
        <w:rPr>
          <w:rFonts w:hint="eastAsia" w:ascii="仿宋_GB2312" w:hAnsi="仿宋_GB2312" w:eastAsia="仿宋_GB2312" w:cs="仿宋_GB2312"/>
        </w:rPr>
      </w:pPr>
    </w:p>
    <w:p>
      <w:pPr>
        <w:spacing w:before="0" w:after="0"/>
        <w:ind w:firstLine="560"/>
        <w:jc w:val="left"/>
        <w:outlineLvl w:val="3"/>
        <w:rPr>
          <w:rFonts w:hint="eastAsia" w:ascii="仿宋_GB2312" w:hAnsi="仿宋_GB2312" w:eastAsia="仿宋_GB2312" w:cs="仿宋_GB2312"/>
          <w:color w:val="000000"/>
          <w:sz w:val="28"/>
          <w:lang w:val="en-US" w:eastAsia="zh-CN"/>
        </w:rPr>
      </w:pPr>
      <w:bookmarkStart w:id="5" w:name="_Toc_4_4_0000000019"/>
    </w:p>
    <w:p>
      <w:pPr>
        <w:spacing w:before="0" w:after="0"/>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lang w:val="en-US" w:eastAsia="zh-CN"/>
        </w:rPr>
        <w:t>7</w:t>
      </w:r>
      <w:r>
        <w:rPr>
          <w:rFonts w:hint="eastAsia" w:ascii="仿宋_GB2312" w:hAnsi="仿宋_GB2312" w:eastAsia="仿宋_GB2312" w:cs="仿宋_GB2312"/>
          <w:color w:val="000000"/>
          <w:sz w:val="28"/>
        </w:rPr>
        <w:t>.非物质文化遗产保护专项资金[省级]绩效目标表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1.加大对非遗传承人的扶持力度，保障传承项目和传承人得到流传。</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1215"/>
        <w:gridCol w:w="1500"/>
        <w:gridCol w:w="2832"/>
        <w:gridCol w:w="1158"/>
        <w:gridCol w:w="1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8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0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5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49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省级非遗传承人补助人数</w:t>
            </w:r>
          </w:p>
        </w:tc>
        <w:tc>
          <w:tcPr>
            <w:tcW w:w="2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省级非遗传承人补助人数</w:t>
            </w:r>
          </w:p>
        </w:tc>
        <w:tc>
          <w:tcPr>
            <w:tcW w:w="115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4人</w:t>
            </w:r>
          </w:p>
        </w:tc>
        <w:tc>
          <w:tcPr>
            <w:tcW w:w="14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Merge w:val="continue"/>
            <w:vAlign w:val="center"/>
          </w:tcPr>
          <w:p>
            <w:pPr>
              <w:rPr>
                <w:rFonts w:hint="eastAsia" w:ascii="仿宋_GB2312" w:hAnsi="仿宋_GB2312" w:eastAsia="仿宋_GB2312" w:cs="仿宋_GB2312"/>
              </w:rPr>
            </w:pP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非遗传承人补贴准确率</w:t>
            </w:r>
          </w:p>
        </w:tc>
        <w:tc>
          <w:tcPr>
            <w:tcW w:w="2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传承人补贴是否符合补贴标准</w:t>
            </w:r>
          </w:p>
        </w:tc>
        <w:tc>
          <w:tcPr>
            <w:tcW w:w="115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14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河北省非物质文化遗产专项资金保护办法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Merge w:val="continue"/>
            <w:vAlign w:val="center"/>
          </w:tcPr>
          <w:p>
            <w:pPr>
              <w:rPr>
                <w:rFonts w:hint="eastAsia" w:ascii="仿宋_GB2312" w:hAnsi="仿宋_GB2312" w:eastAsia="仿宋_GB2312" w:cs="仿宋_GB2312"/>
              </w:rPr>
            </w:pP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2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115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4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河北省非物质文化遗产专项资金保护办法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Merge w:val="continue"/>
            <w:vAlign w:val="center"/>
          </w:tcPr>
          <w:p>
            <w:pPr>
              <w:rPr>
                <w:rFonts w:hint="eastAsia" w:ascii="仿宋_GB2312" w:hAnsi="仿宋_GB2312" w:eastAsia="仿宋_GB2312" w:cs="仿宋_GB2312"/>
              </w:rPr>
            </w:pP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每名传承人补助成本</w:t>
            </w:r>
          </w:p>
        </w:tc>
        <w:tc>
          <w:tcPr>
            <w:tcW w:w="2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每名传承人补助成本</w:t>
            </w:r>
          </w:p>
        </w:tc>
        <w:tc>
          <w:tcPr>
            <w:tcW w:w="115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0.6万元</w:t>
            </w:r>
          </w:p>
        </w:tc>
        <w:tc>
          <w:tcPr>
            <w:tcW w:w="14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河北省非物质文化遗产专项资金保护办法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受补助项目参与传承活动情况</w:t>
            </w:r>
          </w:p>
        </w:tc>
        <w:tc>
          <w:tcPr>
            <w:tcW w:w="2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受补助项目参与传承活动情况</w:t>
            </w:r>
          </w:p>
        </w:tc>
        <w:tc>
          <w:tcPr>
            <w:tcW w:w="115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≥1百分比</w:t>
            </w:r>
          </w:p>
        </w:tc>
        <w:tc>
          <w:tcPr>
            <w:tcW w:w="14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河北省非物质文化遗产专项资金保护办法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受补贴传承人满意度</w:t>
            </w:r>
          </w:p>
        </w:tc>
        <w:tc>
          <w:tcPr>
            <w:tcW w:w="115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14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河北省非物质文化遗产专项资金保护办法</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6"/>
    <w:p>
      <w:pPr>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7"/>
    </w:p>
    <w:p>
      <w:pPr>
        <w:outlineLvl w:val="1"/>
        <w:rPr>
          <w:rFonts w:ascii="方正小标宋_GBK" w:eastAsia="方正小标宋_GBK" w:cs="Times New Roman"/>
          <w:sz w:val="32"/>
        </w:rPr>
      </w:pPr>
      <w:r>
        <w:t>[</w:t>
      </w:r>
      <w:r>
        <w:rPr>
          <w:rFonts w:hint="eastAsia"/>
        </w:rPr>
        <w:t>506003</w:t>
      </w:r>
      <w:r>
        <w:t>]廊坊市</w:t>
      </w:r>
      <w:r>
        <w:rPr>
          <w:rFonts w:hint="eastAsia"/>
        </w:rPr>
        <w:t>广阳区群众艺术馆</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9"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w:t>
            </w:r>
            <w:r>
              <w:rPr>
                <w:rFonts w:hint="eastAsia"/>
                <w:lang w:eastAsia="zh-CN"/>
              </w:rPr>
              <w:t>单位</w:t>
            </w:r>
            <w:r>
              <w:t>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广阳区群众艺术馆</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264.09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sz w:val="32"/>
                <w:szCs w:val="32"/>
              </w:rPr>
            </w:pPr>
          </w:p>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广阳区群众艺术馆</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18"/>
                <w:szCs w:val="18"/>
              </w:rPr>
              <w:t>：</w:t>
            </w:r>
            <w:r>
              <w:rPr>
                <w:rFonts w:ascii="Times New Roman" w:hAnsi="Times New Roman" w:eastAsia="仿宋_GB2312" w:cs="Times New Roman"/>
                <w:sz w:val="22"/>
              </w:rPr>
              <w:t>廊坊市</w:t>
            </w:r>
            <w:r>
              <w:rPr>
                <w:rFonts w:hint="eastAsia" w:ascii="Times New Roman" w:hAnsi="Times New Roman" w:eastAsia="仿宋_GB2312" w:cs="Times New Roman"/>
                <w:sz w:val="22"/>
              </w:rPr>
              <w:t>广阳区群众艺术馆</w:t>
            </w:r>
          </w:p>
        </w:tc>
        <w:tc>
          <w:tcPr>
            <w:tcW w:w="5103" w:type="dxa"/>
            <w:tcBorders>
              <w:top w:val="nil"/>
              <w:left w:val="nil"/>
              <w:bottom w:val="nil"/>
              <w:right w:val="nil"/>
            </w:tcBorders>
            <w:shd w:val="clear" w:color="auto" w:fill="auto"/>
            <w:noWrap/>
            <w:vAlign w:val="center"/>
          </w:tcPr>
          <w:p>
            <w:pPr>
              <w:widowControl/>
              <w:spacing w:line="584" w:lineRule="exact"/>
              <w:ind w:firstLine="990" w:firstLineChars="4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264.09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3113.2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41.06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25296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143.03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7EFA12-3ADD-42C0-A691-6A55F3D4FD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2991BEB1-5D61-43EA-ACAF-F6BF0BF87CD4}"/>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CFB45443-8673-4D90-96FB-689C2A4209BA}"/>
  </w:font>
  <w:font w:name="方正小标宋_GBK">
    <w:altName w:val="宋体"/>
    <w:panose1 w:val="00000000000000000000"/>
    <w:charset w:val="86"/>
    <w:family w:val="script"/>
    <w:pitch w:val="default"/>
    <w:sig w:usb0="00000000" w:usb1="00000000" w:usb2="00000010" w:usb3="00000000" w:csb0="00040000" w:csb1="00000000"/>
    <w:embedRegular r:id="rId4" w:fontKey="{CEEC30DC-2BD9-4803-AE6F-C468439CDF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A5F69"/>
    <w:multiLevelType w:val="singleLevel"/>
    <w:tmpl w:val="92AA5F69"/>
    <w:lvl w:ilvl="0" w:tentative="0">
      <w:start w:val="4"/>
      <w:numFmt w:val="chineseCounting"/>
      <w:suff w:val="nothing"/>
      <w:lvlText w:val="%1、"/>
      <w:lvlJc w:val="left"/>
      <w:rPr>
        <w:rFonts w:hint="eastAsia"/>
      </w:rPr>
    </w:lvl>
  </w:abstractNum>
  <w:abstractNum w:abstractNumId="1">
    <w:nsid w:val="2F51021B"/>
    <w:multiLevelType w:val="multilevel"/>
    <w:tmpl w:val="2F51021B"/>
    <w:lvl w:ilvl="0" w:tentative="0">
      <w:start w:val="3"/>
      <w:numFmt w:val="japaneseCounting"/>
      <w:lvlText w:val="%1、"/>
      <w:lvlJc w:val="left"/>
      <w:pPr>
        <w:ind w:left="1558" w:hanging="720"/>
      </w:pPr>
      <w:rPr>
        <w:rFonts w:hint="default"/>
      </w:rPr>
    </w:lvl>
    <w:lvl w:ilvl="1" w:tentative="0">
      <w:start w:val="1"/>
      <w:numFmt w:val="lowerLetter"/>
      <w:lvlText w:val="%2)"/>
      <w:lvlJc w:val="left"/>
      <w:pPr>
        <w:ind w:left="1678" w:hanging="420"/>
      </w:p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312F78"/>
    <w:rsid w:val="004A54AA"/>
    <w:rsid w:val="0058248E"/>
    <w:rsid w:val="007A48F0"/>
    <w:rsid w:val="00933CD5"/>
    <w:rsid w:val="00944233"/>
    <w:rsid w:val="00AD53E9"/>
    <w:rsid w:val="00B40732"/>
    <w:rsid w:val="00B606BD"/>
    <w:rsid w:val="00B80935"/>
    <w:rsid w:val="00C449F1"/>
    <w:rsid w:val="00CA5808"/>
    <w:rsid w:val="00D117A1"/>
    <w:rsid w:val="00D347CC"/>
    <w:rsid w:val="00D50F91"/>
    <w:rsid w:val="00DC72B4"/>
    <w:rsid w:val="07AC089A"/>
    <w:rsid w:val="0CEC1180"/>
    <w:rsid w:val="12EE25FF"/>
    <w:rsid w:val="16DC48B1"/>
    <w:rsid w:val="1C694603"/>
    <w:rsid w:val="217A75AA"/>
    <w:rsid w:val="26AA52ED"/>
    <w:rsid w:val="35887450"/>
    <w:rsid w:val="3E3F1BCF"/>
    <w:rsid w:val="3FA42EC6"/>
    <w:rsid w:val="45D73ADC"/>
    <w:rsid w:val="53CC2509"/>
    <w:rsid w:val="5B8A79D3"/>
    <w:rsid w:val="638B7765"/>
    <w:rsid w:val="63F82CE2"/>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927</Words>
  <Characters>5287</Characters>
  <Lines>44</Lines>
  <Paragraphs>12</Paragraphs>
  <TotalTime>1</TotalTime>
  <ScaleCrop>false</ScaleCrop>
  <LinksUpToDate>false</LinksUpToDate>
  <CharactersWithSpaces>6202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2023-08-14T00:58:45Z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A973EDF39F5A46B2BE19BC26C8CBC7FC</vt:lpwstr>
  </property>
</Properties>
</file>