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440" w:firstLineChars="1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广阳区社会保险事业管理所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仿宋_GB2312" w:hAnsi="Times New Roman" w:eastAsia="仿宋_GB2312" w:cs="Times New Roman"/>
          <w:sz w:val="32"/>
          <w:szCs w:val="32"/>
        </w:rPr>
      </w:pPr>
      <w:r>
        <w:rPr>
          <w:rFonts w:hint="eastAsia" w:ascii="仿宋_GB2312" w:eastAsia="仿宋_GB2312"/>
          <w:sz w:val="32"/>
          <w:szCs w:val="32"/>
        </w:rPr>
        <w:t>我单位主要负责全区企业基本养老保险工作，基金的结算统计及管理；全区企业离退休人员离退休费用的社会化发放工作；全区企业参保职工基础数据的管理与查询；全区企业退休职工的档案管理工作等等</w:t>
      </w:r>
      <w:r>
        <w:rPr>
          <w:rFonts w:hint="eastAsia" w:ascii="仿宋_GB2312" w:eastAsia="仿宋_GB2312"/>
          <w:sz w:val="32"/>
          <w:szCs w:val="32"/>
          <w:lang w:eastAsia="zh-CN"/>
        </w:rPr>
        <w:t>单位</w:t>
      </w:r>
      <w:r>
        <w:rPr>
          <w:rFonts w:hint="eastAsia" w:ascii="仿宋_GB2312" w:eastAsia="仿宋_GB2312"/>
          <w:sz w:val="32"/>
          <w:szCs w:val="32"/>
        </w:rPr>
        <w:t>职责。</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4"/>
        <w:gridCol w:w="1273"/>
        <w:gridCol w:w="1276"/>
        <w:gridCol w:w="3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30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80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304" w:type="dxa"/>
            <w:vMerge w:val="continue"/>
            <w:shd w:val="clear" w:color="auto" w:fill="auto"/>
            <w:vAlign w:val="center"/>
          </w:tcPr>
          <w:p/>
        </w:tc>
        <w:tc>
          <w:tcPr>
            <w:tcW w:w="1273" w:type="dxa"/>
            <w:vMerge w:val="continue"/>
            <w:shd w:val="clear" w:color="auto" w:fill="auto"/>
            <w:vAlign w:val="center"/>
          </w:tcPr>
          <w:p/>
        </w:tc>
        <w:tc>
          <w:tcPr>
            <w:tcW w:w="1276" w:type="dxa"/>
            <w:vMerge w:val="continue"/>
            <w:shd w:val="clear" w:color="auto" w:fill="auto"/>
            <w:vAlign w:val="center"/>
          </w:tcPr>
          <w:p/>
        </w:tc>
        <w:tc>
          <w:tcPr>
            <w:tcW w:w="380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0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廊坊市广阳区社会保险事业管理所</w:t>
            </w:r>
          </w:p>
        </w:tc>
        <w:tc>
          <w:tcPr>
            <w:tcW w:w="127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380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137.8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137.8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广阳区社会保险事业管理所2022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137.8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1.23万元和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公用项目经费6.57万元；运转类其他及特定目标类项目支出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137.8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13.68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13.68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cs="Times New Roman" w:eastAsiaTheme="minorEastAsia"/>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w:t>
      </w:r>
      <w:r>
        <w:rPr>
          <w:rFonts w:hint="eastAsia" w:cs="Times New Roman" w:asciiTheme="minorEastAsia" w:hAnsiTheme="minorEastAsia" w:eastAsiaTheme="minorEastAsia"/>
          <w:sz w:val="32"/>
          <w:szCs w:val="32"/>
        </w:rPr>
        <w:t>.</w:t>
      </w:r>
      <w:r>
        <w:rPr>
          <w:rFonts w:hint="eastAsia" w:ascii="Times New Roman" w:hAnsi="Times New Roman" w:cs="Times New Roman" w:eastAsiaTheme="minorEastAsia"/>
          <w:sz w:val="32"/>
          <w:szCs w:val="32"/>
        </w:rPr>
        <w:t>5</w:t>
      </w:r>
      <w:r>
        <w:rPr>
          <w:rFonts w:ascii="Times New Roman" w:hAnsi="Times New Roman" w:cs="Times New Roman" w:eastAsiaTheme="minorEastAsia"/>
          <w:sz w:val="32"/>
          <w:szCs w:val="32"/>
        </w:rPr>
        <w:t>7</w:t>
      </w:r>
      <w:r>
        <w:rPr>
          <w:rFonts w:ascii="Times New Roman" w:hAnsi="Times New Roman" w:eastAsia="仿宋_GB2312" w:cs="Times New Roman"/>
          <w:sz w:val="32"/>
          <w:szCs w:val="32"/>
        </w:rPr>
        <w:t>万元，主</w:t>
      </w:r>
      <w:r>
        <w:rPr>
          <w:rFonts w:hint="eastAsia" w:ascii="仿宋_GB2312" w:hAnsi="Times New Roman" w:eastAsia="仿宋_GB2312" w:cs="Times New Roman"/>
          <w:sz w:val="32"/>
          <w:szCs w:val="32"/>
        </w:rPr>
        <w:t>要用于</w:t>
      </w:r>
      <w:r>
        <w:rPr>
          <w:rFonts w:hint="eastAsia" w:ascii="仿宋_GB2312" w:eastAsia="仿宋_GB2312" w:cs="Times New Roman" w:hAnsiTheme="minorEastAsia"/>
          <w:sz w:val="32"/>
          <w:szCs w:val="32"/>
        </w:rPr>
        <w:t>本单位</w:t>
      </w:r>
      <w:r>
        <w:rPr>
          <w:rFonts w:hint="eastAsia" w:ascii="仿宋_GB2312" w:hAnsi="Times New Roman" w:eastAsia="仿宋_GB2312" w:cs="Times New Roman"/>
          <w:sz w:val="32"/>
          <w:szCs w:val="32"/>
        </w:rPr>
        <w:t>办公区</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障本单位在职、退休人员经费与公用经费按时落实到位，严格履行工作职责，确保企业离退休人员基本养老金的按时足额发放，基础管理得到加强，经办能力和服务水平不断提高，为保民生、保稳定，构建和谐广阳发挥积极作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截止2021年12月份，共为全区4650名离退休人员发放离退休费13000万元，社会发放率达到100%，保障了全区企业离退休人员的基本生活保障，企业退休人员待遇调整及领取资格网上认证工作。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抓</w:t>
      </w:r>
      <w:r>
        <w:rPr>
          <w:rFonts w:hint="eastAsia" w:ascii="Times New Roman" w:hAnsi="Times New Roman" w:eastAsia="仿宋_GB2312" w:cs="Times New Roman"/>
          <w:sz w:val="32"/>
          <w:szCs w:val="32"/>
        </w:rPr>
        <w:t>执行提效率，落实社保待遇。充分利用信息化发展趋势，将信息技术同社保工作紧密结合，利用人脸识别技术开展养老金领取资格认证。进一步完善规章制度，岗位设置，财务管理，做好基金风险防控工作，确保基金的安全稳定运行。</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056"/>
        <w:gridCol w:w="1558"/>
        <w:gridCol w:w="1417"/>
        <w:gridCol w:w="1581"/>
        <w:gridCol w:w="2336"/>
        <w:gridCol w:w="839"/>
        <w:gridCol w:w="935"/>
        <w:gridCol w:w="89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1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61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6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62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2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5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9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18" w:type="pct"/>
            <w:vMerge w:val="continue"/>
            <w:tcBorders>
              <w:tl2br w:val="nil"/>
              <w:tr2bl w:val="nil"/>
            </w:tcBorders>
            <w:vAlign w:val="center"/>
          </w:tcPr>
          <w:p/>
        </w:tc>
        <w:tc>
          <w:tcPr>
            <w:tcW w:w="617" w:type="pct"/>
            <w:vMerge w:val="continue"/>
            <w:tcBorders>
              <w:tl2br w:val="nil"/>
              <w:tr2bl w:val="nil"/>
            </w:tcBorders>
            <w:vAlign w:val="center"/>
          </w:tcPr>
          <w:p/>
        </w:tc>
        <w:tc>
          <w:tcPr>
            <w:tcW w:w="561" w:type="pct"/>
            <w:vMerge w:val="continue"/>
            <w:tcBorders>
              <w:tl2br w:val="nil"/>
              <w:tr2bl w:val="nil"/>
            </w:tcBorders>
            <w:vAlign w:val="center"/>
          </w:tcPr>
          <w:p/>
        </w:tc>
        <w:tc>
          <w:tcPr>
            <w:tcW w:w="626" w:type="pct"/>
            <w:vMerge w:val="continue"/>
            <w:tcBorders>
              <w:tl2br w:val="nil"/>
              <w:tr2bl w:val="nil"/>
            </w:tcBorders>
            <w:vAlign w:val="center"/>
          </w:tcPr>
          <w:p/>
        </w:tc>
        <w:tc>
          <w:tcPr>
            <w:tcW w:w="925" w:type="pct"/>
            <w:vMerge w:val="continue"/>
            <w:tcBorders>
              <w:tl2br w:val="nil"/>
              <w:tr2bl w:val="nil"/>
            </w:tcBorders>
            <w:vAlign w:val="center"/>
          </w:tcPr>
          <w:p/>
        </w:tc>
        <w:tc>
          <w:tcPr>
            <w:tcW w:w="33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7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5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90"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8"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56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年度待遇发放人数</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4650</w:t>
            </w:r>
          </w:p>
        </w:tc>
        <w:tc>
          <w:tcPr>
            <w:tcW w:w="35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人</w:t>
            </w: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8"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质量</w:t>
            </w:r>
          </w:p>
        </w:tc>
        <w:tc>
          <w:tcPr>
            <w:tcW w:w="56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年度待遇发放率</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35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18"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时效</w:t>
            </w:r>
          </w:p>
        </w:tc>
        <w:tc>
          <w:tcPr>
            <w:tcW w:w="56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按月及时发放</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5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8"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成本</w:t>
            </w:r>
          </w:p>
        </w:tc>
        <w:tc>
          <w:tcPr>
            <w:tcW w:w="56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成本控制总额不超过预算金额</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13000.00</w:t>
            </w:r>
          </w:p>
        </w:tc>
        <w:tc>
          <w:tcPr>
            <w:tcW w:w="35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万元</w:t>
            </w: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8"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社会</w:t>
            </w:r>
          </w:p>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效益</w:t>
            </w:r>
          </w:p>
        </w:tc>
        <w:tc>
          <w:tcPr>
            <w:tcW w:w="56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92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是否提高社会稳定水平</w:t>
            </w:r>
          </w:p>
        </w:tc>
        <w:tc>
          <w:tcPr>
            <w:tcW w:w="33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提高</w:t>
            </w:r>
          </w:p>
        </w:tc>
        <w:tc>
          <w:tcPr>
            <w:tcW w:w="355"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国发【2005】38号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18"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满意度</w:t>
            </w:r>
          </w:p>
        </w:tc>
        <w:tc>
          <w:tcPr>
            <w:tcW w:w="561"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p>
        </w:tc>
        <w:tc>
          <w:tcPr>
            <w:tcW w:w="626"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925"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享受待遇人员满意度</w:t>
            </w:r>
          </w:p>
        </w:tc>
        <w:tc>
          <w:tcPr>
            <w:tcW w:w="332"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p>
        </w:tc>
        <w:tc>
          <w:tcPr>
            <w:tcW w:w="37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355"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pPr>
        <w:autoSpaceDE w:val="0"/>
        <w:autoSpaceDN w:val="0"/>
        <w:adjustRightInd w:val="0"/>
        <w:spacing w:line="584" w:lineRule="exact"/>
        <w:ind w:firstLine="640" w:firstLineChars="200"/>
        <w:jc w:val="left"/>
        <w:rPr>
          <w:rFonts w:hint="eastAsia" w:ascii="Times New Roman" w:hAnsi="Times New Roman" w:eastAsia="仿宋_GB2312" w:cs="Times New Roman"/>
          <w:sz w:val="32"/>
          <w:szCs w:val="32"/>
          <w:lang w:eastAsia="zh-CN"/>
        </w:rPr>
      </w:pPr>
    </w:p>
    <w:p>
      <w:pPr>
        <w:autoSpaceDE w:val="0"/>
        <w:autoSpaceDN w:val="0"/>
        <w:adjustRightInd w:val="0"/>
        <w:spacing w:line="584" w:lineRule="exact"/>
        <w:ind w:firstLine="640" w:firstLineChars="200"/>
        <w:jc w:val="left"/>
        <w:rPr>
          <w:rFonts w:hint="eastAsia" w:ascii="Times New Roman" w:hAnsi="Times New Roman" w:eastAsia="仿宋_GB2312" w:cs="Times New Roman"/>
          <w:sz w:val="32"/>
          <w:szCs w:val="32"/>
          <w:lang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jc w:val="left"/>
        <w:outlineLvl w:val="1"/>
        <w:rPr>
          <w:rFonts w:ascii="方正小标宋_GBK" w:eastAsia="方正小标宋_GBK" w:cs="Times New Roman"/>
          <w:sz w:val="32"/>
        </w:rPr>
      </w:pPr>
      <w:r>
        <w:t>[233004]</w:t>
      </w:r>
      <w:r>
        <w:rPr>
          <w:rFonts w:hint="eastAsia"/>
        </w:rPr>
        <w:t>廊坊市广阳区社会保险事业管理所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9"/>
        <w:gridCol w:w="689"/>
        <w:gridCol w:w="958"/>
        <w:gridCol w:w="935"/>
        <w:gridCol w:w="683"/>
        <w:gridCol w:w="624"/>
        <w:gridCol w:w="567"/>
        <w:gridCol w:w="709"/>
        <w:gridCol w:w="1134"/>
        <w:gridCol w:w="992"/>
        <w:gridCol w:w="1332"/>
        <w:gridCol w:w="930"/>
        <w:gridCol w:w="930"/>
        <w:gridCol w:w="930"/>
        <w:gridCol w:w="938"/>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60" w:type="pct"/>
            <w:gridSpan w:val="2"/>
            <w:vAlign w:val="center"/>
          </w:tcPr>
          <w:p>
            <w:pPr>
              <w:pStyle w:val="12"/>
            </w:pPr>
            <w:r>
              <w:t>政府采购项目来源</w:t>
            </w:r>
          </w:p>
        </w:tc>
        <w:tc>
          <w:tcPr>
            <w:tcW w:w="338" w:type="pct"/>
            <w:vMerge w:val="restart"/>
            <w:vAlign w:val="center"/>
          </w:tcPr>
          <w:p>
            <w:pPr>
              <w:pStyle w:val="12"/>
            </w:pPr>
            <w:r>
              <w:t>采购物品名称</w:t>
            </w:r>
          </w:p>
        </w:tc>
        <w:tc>
          <w:tcPr>
            <w:tcW w:w="330" w:type="pct"/>
            <w:vMerge w:val="restart"/>
            <w:vAlign w:val="center"/>
          </w:tcPr>
          <w:p>
            <w:pPr>
              <w:pStyle w:val="12"/>
            </w:pPr>
            <w:r>
              <w:t>政府采购目录序号</w:t>
            </w:r>
          </w:p>
        </w:tc>
        <w:tc>
          <w:tcPr>
            <w:tcW w:w="241" w:type="pct"/>
            <w:vMerge w:val="restart"/>
            <w:vAlign w:val="center"/>
          </w:tcPr>
          <w:p>
            <w:pPr>
              <w:pStyle w:val="12"/>
            </w:pPr>
            <w:r>
              <w:t>计量  单位</w:t>
            </w:r>
          </w:p>
        </w:tc>
        <w:tc>
          <w:tcPr>
            <w:tcW w:w="220" w:type="pct"/>
            <w:vMerge w:val="restart"/>
            <w:vAlign w:val="center"/>
          </w:tcPr>
          <w:p>
            <w:pPr>
              <w:pStyle w:val="12"/>
            </w:pPr>
            <w:r>
              <w:t>数量</w:t>
            </w:r>
          </w:p>
        </w:tc>
        <w:tc>
          <w:tcPr>
            <w:tcW w:w="200" w:type="pct"/>
            <w:vMerge w:val="restart"/>
            <w:vAlign w:val="center"/>
          </w:tcPr>
          <w:p>
            <w:pPr>
              <w:pStyle w:val="12"/>
            </w:pPr>
            <w:r>
              <w:t>单价</w:t>
            </w:r>
          </w:p>
        </w:tc>
        <w:tc>
          <w:tcPr>
            <w:tcW w:w="2785" w:type="pct"/>
            <w:gridSpan w:val="8"/>
            <w:vAlign w:val="center"/>
          </w:tcPr>
          <w:p>
            <w:pPr>
              <w:pStyle w:val="12"/>
            </w:pPr>
            <w:r>
              <w:t>政府采购金额（当年</w:t>
            </w:r>
            <w:r>
              <w:rPr>
                <w:rFonts w:hint="eastAsia"/>
                <w:lang w:eastAsia="zh-CN"/>
              </w:rPr>
              <w:t>单位</w:t>
            </w:r>
            <w:r>
              <w:t>预算安排资金）</w:t>
            </w:r>
          </w:p>
        </w:tc>
        <w:tc>
          <w:tcPr>
            <w:tcW w:w="326"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2" w:hRule="atLeast"/>
          <w:tblHeader/>
          <w:jc w:val="center"/>
        </w:trPr>
        <w:tc>
          <w:tcPr>
            <w:tcW w:w="317" w:type="pct"/>
            <w:vAlign w:val="center"/>
          </w:tcPr>
          <w:p>
            <w:pPr>
              <w:pStyle w:val="12"/>
            </w:pPr>
            <w:r>
              <w:t>项目名称</w:t>
            </w:r>
          </w:p>
        </w:tc>
        <w:tc>
          <w:tcPr>
            <w:tcW w:w="243" w:type="pct"/>
            <w:vAlign w:val="center"/>
          </w:tcPr>
          <w:p>
            <w:pPr>
              <w:pStyle w:val="12"/>
            </w:pPr>
            <w:r>
              <w:t>预算    资金</w:t>
            </w:r>
          </w:p>
        </w:tc>
        <w:tc>
          <w:tcPr>
            <w:tcW w:w="338" w:type="pct"/>
            <w:vMerge w:val="continue"/>
          </w:tcPr>
          <w:p/>
        </w:tc>
        <w:tc>
          <w:tcPr>
            <w:tcW w:w="330" w:type="pct"/>
            <w:vMerge w:val="continue"/>
          </w:tcPr>
          <w:p/>
        </w:tc>
        <w:tc>
          <w:tcPr>
            <w:tcW w:w="241" w:type="pct"/>
            <w:vMerge w:val="continue"/>
          </w:tcPr>
          <w:p/>
        </w:tc>
        <w:tc>
          <w:tcPr>
            <w:tcW w:w="220" w:type="pct"/>
            <w:vMerge w:val="continue"/>
          </w:tcPr>
          <w:p/>
        </w:tc>
        <w:tc>
          <w:tcPr>
            <w:tcW w:w="200" w:type="pct"/>
            <w:vMerge w:val="continue"/>
          </w:tcPr>
          <w:p/>
        </w:tc>
        <w:tc>
          <w:tcPr>
            <w:tcW w:w="250" w:type="pct"/>
            <w:vAlign w:val="center"/>
          </w:tcPr>
          <w:p>
            <w:pPr>
              <w:pStyle w:val="12"/>
            </w:pPr>
            <w:r>
              <w:t>合计</w:t>
            </w:r>
          </w:p>
        </w:tc>
        <w:tc>
          <w:tcPr>
            <w:tcW w:w="400" w:type="pct"/>
            <w:vAlign w:val="center"/>
          </w:tcPr>
          <w:p>
            <w:pPr>
              <w:pStyle w:val="12"/>
            </w:pPr>
            <w:r>
              <w:t>一般公共预算拨款</w:t>
            </w:r>
          </w:p>
        </w:tc>
        <w:tc>
          <w:tcPr>
            <w:tcW w:w="350" w:type="pct"/>
            <w:vAlign w:val="center"/>
          </w:tcPr>
          <w:p>
            <w:pPr>
              <w:pStyle w:val="12"/>
            </w:pPr>
            <w:r>
              <w:t>基金预算拨款</w:t>
            </w:r>
          </w:p>
        </w:tc>
        <w:tc>
          <w:tcPr>
            <w:tcW w:w="470" w:type="pct"/>
            <w:vAlign w:val="center"/>
          </w:tcPr>
          <w:p>
            <w:pPr>
              <w:pStyle w:val="12"/>
            </w:pPr>
            <w:r>
              <w:t>国有资本经营预算拨款</w:t>
            </w:r>
          </w:p>
        </w:tc>
        <w:tc>
          <w:tcPr>
            <w:tcW w:w="328" w:type="pct"/>
            <w:vAlign w:val="center"/>
          </w:tcPr>
          <w:p>
            <w:pPr>
              <w:pStyle w:val="12"/>
            </w:pPr>
            <w:r>
              <w:t>财政专户核拨</w:t>
            </w:r>
          </w:p>
        </w:tc>
        <w:tc>
          <w:tcPr>
            <w:tcW w:w="328" w:type="pct"/>
            <w:vAlign w:val="center"/>
          </w:tcPr>
          <w:p>
            <w:pPr>
              <w:pStyle w:val="12"/>
            </w:pPr>
            <w:r>
              <w:t>单位    资金</w:t>
            </w:r>
          </w:p>
        </w:tc>
        <w:tc>
          <w:tcPr>
            <w:tcW w:w="328" w:type="pct"/>
            <w:vAlign w:val="center"/>
          </w:tcPr>
          <w:p>
            <w:pPr>
              <w:pStyle w:val="12"/>
            </w:pPr>
            <w:r>
              <w:t>财政拨    款结转</w:t>
            </w:r>
          </w:p>
        </w:tc>
        <w:tc>
          <w:tcPr>
            <w:tcW w:w="331" w:type="pct"/>
            <w:vAlign w:val="center"/>
          </w:tcPr>
          <w:p>
            <w:pPr>
              <w:pStyle w:val="12"/>
            </w:pPr>
            <w:r>
              <w:t>非财政    拨款结    转结余</w:t>
            </w:r>
          </w:p>
        </w:tc>
        <w:tc>
          <w:tcPr>
            <w:tcW w:w="32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 w:type="pct"/>
            <w:vAlign w:val="center"/>
          </w:tcPr>
          <w:p>
            <w:pPr>
              <w:pStyle w:val="16"/>
            </w:pPr>
            <w:r>
              <w:t>合  计</w:t>
            </w:r>
          </w:p>
        </w:tc>
        <w:tc>
          <w:tcPr>
            <w:tcW w:w="243" w:type="pct"/>
            <w:vAlign w:val="center"/>
          </w:tcPr>
          <w:p>
            <w:pPr>
              <w:pStyle w:val="17"/>
              <w:rPr>
                <w:lang w:eastAsia="zh-CN"/>
              </w:rPr>
            </w:pPr>
          </w:p>
        </w:tc>
        <w:tc>
          <w:tcPr>
            <w:tcW w:w="338" w:type="pct"/>
            <w:vAlign w:val="center"/>
          </w:tcPr>
          <w:p>
            <w:pPr>
              <w:pStyle w:val="18"/>
            </w:pPr>
          </w:p>
        </w:tc>
        <w:tc>
          <w:tcPr>
            <w:tcW w:w="330" w:type="pct"/>
            <w:vAlign w:val="center"/>
          </w:tcPr>
          <w:p>
            <w:pPr>
              <w:pStyle w:val="18"/>
            </w:pPr>
          </w:p>
        </w:tc>
        <w:tc>
          <w:tcPr>
            <w:tcW w:w="241" w:type="pct"/>
            <w:vAlign w:val="center"/>
          </w:tcPr>
          <w:p>
            <w:pPr>
              <w:pStyle w:val="16"/>
            </w:pPr>
          </w:p>
        </w:tc>
        <w:tc>
          <w:tcPr>
            <w:tcW w:w="220" w:type="pct"/>
            <w:vAlign w:val="center"/>
          </w:tcPr>
          <w:p>
            <w:pPr>
              <w:pStyle w:val="17"/>
            </w:pPr>
          </w:p>
        </w:tc>
        <w:tc>
          <w:tcPr>
            <w:tcW w:w="200" w:type="pct"/>
            <w:vAlign w:val="center"/>
          </w:tcPr>
          <w:p>
            <w:pPr>
              <w:pStyle w:val="17"/>
            </w:pPr>
          </w:p>
        </w:tc>
        <w:tc>
          <w:tcPr>
            <w:tcW w:w="250" w:type="pct"/>
            <w:vAlign w:val="center"/>
          </w:tcPr>
          <w:p>
            <w:pPr>
              <w:pStyle w:val="17"/>
            </w:pPr>
          </w:p>
        </w:tc>
        <w:tc>
          <w:tcPr>
            <w:tcW w:w="400" w:type="pct"/>
            <w:vAlign w:val="center"/>
          </w:tcPr>
          <w:p>
            <w:pPr>
              <w:pStyle w:val="17"/>
            </w:pPr>
          </w:p>
        </w:tc>
        <w:tc>
          <w:tcPr>
            <w:tcW w:w="350" w:type="pct"/>
            <w:vAlign w:val="center"/>
          </w:tcPr>
          <w:p>
            <w:pPr>
              <w:pStyle w:val="17"/>
            </w:pPr>
          </w:p>
        </w:tc>
        <w:tc>
          <w:tcPr>
            <w:tcW w:w="470" w:type="pct"/>
            <w:vAlign w:val="center"/>
          </w:tcPr>
          <w:p>
            <w:pPr>
              <w:pStyle w:val="17"/>
            </w:pPr>
          </w:p>
        </w:tc>
        <w:tc>
          <w:tcPr>
            <w:tcW w:w="328" w:type="pct"/>
            <w:vAlign w:val="center"/>
          </w:tcPr>
          <w:p>
            <w:pPr>
              <w:pStyle w:val="17"/>
            </w:pPr>
          </w:p>
        </w:tc>
        <w:tc>
          <w:tcPr>
            <w:tcW w:w="328" w:type="pct"/>
            <w:vAlign w:val="center"/>
          </w:tcPr>
          <w:p>
            <w:pPr>
              <w:pStyle w:val="17"/>
            </w:pPr>
          </w:p>
        </w:tc>
        <w:tc>
          <w:tcPr>
            <w:tcW w:w="328" w:type="pct"/>
            <w:vAlign w:val="center"/>
          </w:tcPr>
          <w:p>
            <w:pPr>
              <w:pStyle w:val="17"/>
            </w:pPr>
          </w:p>
        </w:tc>
        <w:tc>
          <w:tcPr>
            <w:tcW w:w="331" w:type="pct"/>
            <w:vAlign w:val="center"/>
          </w:tcPr>
          <w:p>
            <w:pPr>
              <w:pStyle w:val="17"/>
            </w:pPr>
          </w:p>
        </w:tc>
        <w:tc>
          <w:tcPr>
            <w:tcW w:w="326"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 w:type="pct"/>
            <w:vAlign w:val="center"/>
          </w:tcPr>
          <w:p>
            <w:pPr>
              <w:pStyle w:val="16"/>
            </w:pPr>
          </w:p>
        </w:tc>
        <w:tc>
          <w:tcPr>
            <w:tcW w:w="243" w:type="pct"/>
            <w:vAlign w:val="center"/>
          </w:tcPr>
          <w:p>
            <w:pPr>
              <w:pStyle w:val="17"/>
            </w:pPr>
          </w:p>
        </w:tc>
        <w:tc>
          <w:tcPr>
            <w:tcW w:w="338" w:type="pct"/>
            <w:vAlign w:val="center"/>
          </w:tcPr>
          <w:p>
            <w:pPr>
              <w:pStyle w:val="18"/>
            </w:pPr>
          </w:p>
        </w:tc>
        <w:tc>
          <w:tcPr>
            <w:tcW w:w="330" w:type="pct"/>
            <w:vAlign w:val="center"/>
          </w:tcPr>
          <w:p>
            <w:pPr>
              <w:pStyle w:val="18"/>
            </w:pPr>
          </w:p>
        </w:tc>
        <w:tc>
          <w:tcPr>
            <w:tcW w:w="241" w:type="pct"/>
            <w:vAlign w:val="center"/>
          </w:tcPr>
          <w:p>
            <w:pPr>
              <w:pStyle w:val="16"/>
            </w:pPr>
          </w:p>
        </w:tc>
        <w:tc>
          <w:tcPr>
            <w:tcW w:w="220" w:type="pct"/>
            <w:vAlign w:val="center"/>
          </w:tcPr>
          <w:p>
            <w:pPr>
              <w:pStyle w:val="17"/>
            </w:pPr>
          </w:p>
        </w:tc>
        <w:tc>
          <w:tcPr>
            <w:tcW w:w="200" w:type="pct"/>
            <w:vAlign w:val="center"/>
          </w:tcPr>
          <w:p>
            <w:pPr>
              <w:pStyle w:val="17"/>
            </w:pPr>
          </w:p>
        </w:tc>
        <w:tc>
          <w:tcPr>
            <w:tcW w:w="250" w:type="pct"/>
            <w:vAlign w:val="center"/>
          </w:tcPr>
          <w:p>
            <w:pPr>
              <w:pStyle w:val="17"/>
            </w:pPr>
          </w:p>
        </w:tc>
        <w:tc>
          <w:tcPr>
            <w:tcW w:w="400" w:type="pct"/>
            <w:vAlign w:val="center"/>
          </w:tcPr>
          <w:p>
            <w:pPr>
              <w:pStyle w:val="17"/>
            </w:pPr>
          </w:p>
        </w:tc>
        <w:tc>
          <w:tcPr>
            <w:tcW w:w="350" w:type="pct"/>
            <w:vAlign w:val="center"/>
          </w:tcPr>
          <w:p>
            <w:pPr>
              <w:pStyle w:val="17"/>
            </w:pPr>
          </w:p>
        </w:tc>
        <w:tc>
          <w:tcPr>
            <w:tcW w:w="470" w:type="pct"/>
            <w:vAlign w:val="center"/>
          </w:tcPr>
          <w:p>
            <w:pPr>
              <w:pStyle w:val="17"/>
            </w:pPr>
          </w:p>
        </w:tc>
        <w:tc>
          <w:tcPr>
            <w:tcW w:w="328" w:type="pct"/>
            <w:vAlign w:val="center"/>
          </w:tcPr>
          <w:p>
            <w:pPr>
              <w:pStyle w:val="17"/>
            </w:pPr>
          </w:p>
        </w:tc>
        <w:tc>
          <w:tcPr>
            <w:tcW w:w="328" w:type="pct"/>
            <w:vAlign w:val="center"/>
          </w:tcPr>
          <w:p>
            <w:pPr>
              <w:pStyle w:val="17"/>
            </w:pPr>
          </w:p>
        </w:tc>
        <w:tc>
          <w:tcPr>
            <w:tcW w:w="328" w:type="pct"/>
            <w:vAlign w:val="center"/>
          </w:tcPr>
          <w:p>
            <w:pPr>
              <w:pStyle w:val="17"/>
            </w:pPr>
          </w:p>
        </w:tc>
        <w:tc>
          <w:tcPr>
            <w:tcW w:w="331" w:type="pct"/>
            <w:vAlign w:val="center"/>
          </w:tcPr>
          <w:p>
            <w:pPr>
              <w:pStyle w:val="17"/>
            </w:pPr>
          </w:p>
        </w:tc>
        <w:tc>
          <w:tcPr>
            <w:tcW w:w="326"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cs="Times New Roman" w:eastAsiaTheme="minorEastAsia"/>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广阳区社会保险事业管理所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广阳区社会保险事业管理所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rPr>
              <w:t>廊坊市广阳区社会保险事业管理所</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1.9</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35734"/>
    <w:rsid w:val="000F6018"/>
    <w:rsid w:val="001A61AF"/>
    <w:rsid w:val="0025632D"/>
    <w:rsid w:val="003059E0"/>
    <w:rsid w:val="003308C6"/>
    <w:rsid w:val="004A54AA"/>
    <w:rsid w:val="0053265C"/>
    <w:rsid w:val="0057529B"/>
    <w:rsid w:val="00661F29"/>
    <w:rsid w:val="006B23A7"/>
    <w:rsid w:val="007330EA"/>
    <w:rsid w:val="00740040"/>
    <w:rsid w:val="00802478"/>
    <w:rsid w:val="00944233"/>
    <w:rsid w:val="00B40732"/>
    <w:rsid w:val="00B7149F"/>
    <w:rsid w:val="00B80935"/>
    <w:rsid w:val="00D347CC"/>
    <w:rsid w:val="00DC72B4"/>
    <w:rsid w:val="00DF71C7"/>
    <w:rsid w:val="00E05783"/>
    <w:rsid w:val="00E46AB8"/>
    <w:rsid w:val="04BC7CF2"/>
    <w:rsid w:val="0CEC1180"/>
    <w:rsid w:val="1F796F9F"/>
    <w:rsid w:val="220A7B8A"/>
    <w:rsid w:val="2DD50BBA"/>
    <w:rsid w:val="4B8F75D6"/>
    <w:rsid w:val="57CB496D"/>
    <w:rsid w:val="5C836220"/>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F9D2-BF78-4E44-A035-C5B2154E96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461</Words>
  <Characters>2632</Characters>
  <Lines>21</Lines>
  <Paragraphs>6</Paragraphs>
  <TotalTime>33</TotalTime>
  <ScaleCrop>false</ScaleCrop>
  <LinksUpToDate>false</LinksUpToDate>
  <CharactersWithSpaces>3087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2024-05-16T08:00:22Z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869B0E48D7114FF6B9C74D7F10981745</vt:lpwstr>
  </property>
</Properties>
</file>