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pPr>
    </w:p>
    <w:p>
      <w:pPr>
        <w:jc w:val="center"/>
      </w:pPr>
    </w:p>
    <w:p>
      <w:pPr>
        <w:jc w:val="center"/>
        <w:rPr>
          <w:rFonts w:eastAsiaTheme="minorEastAsia"/>
          <w:lang w:eastAsia="zh-CN"/>
        </w:rPr>
      </w:pPr>
    </w:p>
    <w:p>
      <w:pPr>
        <w:jc w:val="center"/>
        <w:rPr>
          <w:rFonts w:eastAsiaTheme="minorEastAsia"/>
          <w:lang w:eastAsia="zh-CN"/>
        </w:r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455001廊坊市第八小学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2773.15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2773.15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2773.15</w:t>
            </w:r>
          </w:p>
        </w:tc>
        <w:tc>
          <w:tcPr>
            <w:tcW w:w="4535" w:type="dxa"/>
            <w:vAlign w:val="center"/>
          </w:tcPr>
          <w:p>
            <w:pPr>
              <w:pStyle w:val="19"/>
            </w:pPr>
            <w:r>
              <w:t>本年支出合计</w:t>
            </w:r>
          </w:p>
        </w:tc>
        <w:tc>
          <w:tcPr>
            <w:tcW w:w="2126" w:type="dxa"/>
            <w:vAlign w:val="center"/>
          </w:tcPr>
          <w:p>
            <w:pPr>
              <w:pStyle w:val="20"/>
            </w:pPr>
            <w:r>
              <w:t>2773.15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2773.15</w:t>
            </w:r>
          </w:p>
        </w:tc>
        <w:tc>
          <w:tcPr>
            <w:tcW w:w="4535" w:type="dxa"/>
            <w:vAlign w:val="center"/>
          </w:tcPr>
          <w:p>
            <w:pPr>
              <w:pStyle w:val="19"/>
            </w:pPr>
            <w:r>
              <w:t>支出总计</w:t>
            </w:r>
          </w:p>
        </w:tc>
        <w:tc>
          <w:tcPr>
            <w:tcW w:w="2126" w:type="dxa"/>
            <w:vAlign w:val="center"/>
          </w:tcPr>
          <w:p>
            <w:pPr>
              <w:pStyle w:val="20"/>
            </w:pPr>
            <w:r>
              <w:t>2773.15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455001廊坊市第八小学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2773.15</w:t>
            </w:r>
          </w:p>
        </w:tc>
        <w:tc>
          <w:tcPr>
            <w:tcW w:w="1134" w:type="dxa"/>
            <w:vAlign w:val="center"/>
          </w:tcPr>
          <w:p>
            <w:pPr>
              <w:pStyle w:val="20"/>
            </w:pPr>
            <w:r>
              <w:t>2773.15</w:t>
            </w:r>
          </w:p>
        </w:tc>
        <w:tc>
          <w:tcPr>
            <w:tcW w:w="1134" w:type="dxa"/>
            <w:vAlign w:val="center"/>
          </w:tcPr>
          <w:p>
            <w:pPr>
              <w:pStyle w:val="20"/>
            </w:pPr>
            <w:r>
              <w:t>2773.15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2773.15</w:t>
            </w:r>
          </w:p>
        </w:tc>
        <w:tc>
          <w:tcPr>
            <w:tcW w:w="1134" w:type="dxa"/>
            <w:vAlign w:val="center"/>
          </w:tcPr>
          <w:p>
            <w:pPr>
              <w:pStyle w:val="16"/>
            </w:pPr>
            <w:r>
              <w:t>2773.15</w:t>
            </w:r>
          </w:p>
        </w:tc>
        <w:tc>
          <w:tcPr>
            <w:tcW w:w="1134" w:type="dxa"/>
            <w:vAlign w:val="center"/>
          </w:tcPr>
          <w:p>
            <w:pPr>
              <w:pStyle w:val="16"/>
            </w:pPr>
            <w:r>
              <w:t>2773.15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2773.15</w:t>
            </w:r>
          </w:p>
        </w:tc>
        <w:tc>
          <w:tcPr>
            <w:tcW w:w="1134" w:type="dxa"/>
            <w:vAlign w:val="center"/>
          </w:tcPr>
          <w:p>
            <w:pPr>
              <w:pStyle w:val="16"/>
            </w:pPr>
            <w:r>
              <w:t>2773.15</w:t>
            </w:r>
          </w:p>
        </w:tc>
        <w:tc>
          <w:tcPr>
            <w:tcW w:w="1134" w:type="dxa"/>
            <w:vAlign w:val="center"/>
          </w:tcPr>
          <w:p>
            <w:pPr>
              <w:pStyle w:val="16"/>
            </w:pPr>
            <w:r>
              <w:t>2773.15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2773.15</w:t>
            </w:r>
          </w:p>
        </w:tc>
        <w:tc>
          <w:tcPr>
            <w:tcW w:w="1134" w:type="dxa"/>
            <w:vAlign w:val="center"/>
          </w:tcPr>
          <w:p>
            <w:pPr>
              <w:pStyle w:val="16"/>
            </w:pPr>
            <w:r>
              <w:t>2773.15</w:t>
            </w:r>
          </w:p>
        </w:tc>
        <w:tc>
          <w:tcPr>
            <w:tcW w:w="1134" w:type="dxa"/>
            <w:vAlign w:val="center"/>
          </w:tcPr>
          <w:p>
            <w:pPr>
              <w:pStyle w:val="16"/>
            </w:pPr>
            <w:r>
              <w:t>2773.15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455001廊坊市第八小学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2773.15</w:t>
            </w:r>
          </w:p>
        </w:tc>
        <w:tc>
          <w:tcPr>
            <w:tcW w:w="1361" w:type="dxa"/>
            <w:vAlign w:val="center"/>
          </w:tcPr>
          <w:p>
            <w:pPr>
              <w:pStyle w:val="20"/>
            </w:pPr>
            <w:r>
              <w:t>2750.08</w:t>
            </w:r>
          </w:p>
        </w:tc>
        <w:tc>
          <w:tcPr>
            <w:tcW w:w="1361" w:type="dxa"/>
            <w:vAlign w:val="center"/>
          </w:tcPr>
          <w:p>
            <w:pPr>
              <w:pStyle w:val="20"/>
            </w:pPr>
            <w:r>
              <w:t>23.07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2773.15</w:t>
            </w:r>
          </w:p>
        </w:tc>
        <w:tc>
          <w:tcPr>
            <w:tcW w:w="1361" w:type="dxa"/>
            <w:vAlign w:val="center"/>
          </w:tcPr>
          <w:p>
            <w:pPr>
              <w:pStyle w:val="16"/>
            </w:pPr>
            <w:r>
              <w:t>2750.08</w:t>
            </w:r>
          </w:p>
        </w:tc>
        <w:tc>
          <w:tcPr>
            <w:tcW w:w="1361" w:type="dxa"/>
            <w:vAlign w:val="center"/>
          </w:tcPr>
          <w:p>
            <w:pPr>
              <w:pStyle w:val="16"/>
            </w:pPr>
            <w:r>
              <w:t>23.07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2773.15</w:t>
            </w:r>
          </w:p>
        </w:tc>
        <w:tc>
          <w:tcPr>
            <w:tcW w:w="1361" w:type="dxa"/>
            <w:vAlign w:val="center"/>
          </w:tcPr>
          <w:p>
            <w:pPr>
              <w:pStyle w:val="16"/>
            </w:pPr>
            <w:r>
              <w:t>2750.08</w:t>
            </w:r>
          </w:p>
        </w:tc>
        <w:tc>
          <w:tcPr>
            <w:tcW w:w="1361" w:type="dxa"/>
            <w:vAlign w:val="center"/>
          </w:tcPr>
          <w:p>
            <w:pPr>
              <w:pStyle w:val="16"/>
            </w:pPr>
            <w:r>
              <w:t>23.07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2773.15</w:t>
            </w:r>
          </w:p>
        </w:tc>
        <w:tc>
          <w:tcPr>
            <w:tcW w:w="1361" w:type="dxa"/>
            <w:vAlign w:val="center"/>
          </w:tcPr>
          <w:p>
            <w:pPr>
              <w:pStyle w:val="16"/>
            </w:pPr>
            <w:r>
              <w:t>2750.08</w:t>
            </w:r>
          </w:p>
        </w:tc>
        <w:tc>
          <w:tcPr>
            <w:tcW w:w="1361" w:type="dxa"/>
            <w:vAlign w:val="center"/>
          </w:tcPr>
          <w:p>
            <w:pPr>
              <w:pStyle w:val="16"/>
            </w:pPr>
            <w:r>
              <w:t>23.07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455001廊坊市第八小学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2773.15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2773.15</w:t>
            </w:r>
          </w:p>
        </w:tc>
        <w:tc>
          <w:tcPr>
            <w:tcW w:w="1474" w:type="dxa"/>
            <w:vAlign w:val="center"/>
          </w:tcPr>
          <w:p>
            <w:pPr>
              <w:pStyle w:val="16"/>
            </w:pPr>
            <w:r>
              <w:t>2773.15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2773.15</w:t>
            </w:r>
          </w:p>
        </w:tc>
        <w:tc>
          <w:tcPr>
            <w:tcW w:w="3402" w:type="dxa"/>
            <w:vAlign w:val="center"/>
          </w:tcPr>
          <w:p>
            <w:pPr>
              <w:pStyle w:val="19"/>
            </w:pPr>
            <w:r>
              <w:t>本年支出合计</w:t>
            </w:r>
          </w:p>
        </w:tc>
        <w:tc>
          <w:tcPr>
            <w:tcW w:w="1474" w:type="dxa"/>
            <w:vAlign w:val="center"/>
          </w:tcPr>
          <w:p>
            <w:pPr>
              <w:pStyle w:val="20"/>
            </w:pPr>
            <w:r>
              <w:t>2773.15</w:t>
            </w:r>
          </w:p>
        </w:tc>
        <w:tc>
          <w:tcPr>
            <w:tcW w:w="1474" w:type="dxa"/>
            <w:vAlign w:val="center"/>
          </w:tcPr>
          <w:p>
            <w:pPr>
              <w:pStyle w:val="20"/>
            </w:pPr>
            <w:r>
              <w:t>2773.15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2773.15</w:t>
            </w:r>
          </w:p>
        </w:tc>
        <w:tc>
          <w:tcPr>
            <w:tcW w:w="3402" w:type="dxa"/>
            <w:vAlign w:val="center"/>
          </w:tcPr>
          <w:p>
            <w:pPr>
              <w:pStyle w:val="19"/>
            </w:pPr>
            <w:r>
              <w:t>支出总计</w:t>
            </w:r>
          </w:p>
        </w:tc>
        <w:tc>
          <w:tcPr>
            <w:tcW w:w="1474" w:type="dxa"/>
            <w:vAlign w:val="center"/>
          </w:tcPr>
          <w:p>
            <w:pPr>
              <w:pStyle w:val="20"/>
            </w:pPr>
            <w:r>
              <w:t>2773.15</w:t>
            </w:r>
          </w:p>
        </w:tc>
        <w:tc>
          <w:tcPr>
            <w:tcW w:w="1474" w:type="dxa"/>
            <w:vAlign w:val="center"/>
          </w:tcPr>
          <w:p>
            <w:pPr>
              <w:pStyle w:val="20"/>
            </w:pPr>
            <w:r>
              <w:t>2773.15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455001廊坊市第八小学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2773.15</w:t>
            </w:r>
          </w:p>
        </w:tc>
        <w:tc>
          <w:tcPr>
            <w:tcW w:w="2551" w:type="dxa"/>
            <w:vAlign w:val="center"/>
          </w:tcPr>
          <w:p>
            <w:pPr>
              <w:pStyle w:val="20"/>
            </w:pPr>
            <w:r>
              <w:t>2750.08</w:t>
            </w:r>
          </w:p>
        </w:tc>
        <w:tc>
          <w:tcPr>
            <w:tcW w:w="2551" w:type="dxa"/>
            <w:vAlign w:val="center"/>
          </w:tcPr>
          <w:p>
            <w:pPr>
              <w:pStyle w:val="20"/>
            </w:pPr>
            <w:r>
              <w:t>23.07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2773.15</w:t>
            </w:r>
          </w:p>
        </w:tc>
        <w:tc>
          <w:tcPr>
            <w:tcW w:w="2551" w:type="dxa"/>
            <w:vAlign w:val="center"/>
          </w:tcPr>
          <w:p>
            <w:pPr>
              <w:pStyle w:val="16"/>
            </w:pPr>
            <w:r>
              <w:t>2750.08</w:t>
            </w:r>
          </w:p>
        </w:tc>
        <w:tc>
          <w:tcPr>
            <w:tcW w:w="2551" w:type="dxa"/>
            <w:vAlign w:val="center"/>
          </w:tcPr>
          <w:p>
            <w:pPr>
              <w:pStyle w:val="16"/>
            </w:pPr>
            <w:r>
              <w:t>23.07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2773.15</w:t>
            </w:r>
          </w:p>
        </w:tc>
        <w:tc>
          <w:tcPr>
            <w:tcW w:w="2551" w:type="dxa"/>
            <w:vAlign w:val="center"/>
          </w:tcPr>
          <w:p>
            <w:pPr>
              <w:pStyle w:val="16"/>
            </w:pPr>
            <w:r>
              <w:t>2750.08</w:t>
            </w:r>
          </w:p>
        </w:tc>
        <w:tc>
          <w:tcPr>
            <w:tcW w:w="2551" w:type="dxa"/>
            <w:vAlign w:val="center"/>
          </w:tcPr>
          <w:p>
            <w:pPr>
              <w:pStyle w:val="16"/>
            </w:pPr>
            <w:r>
              <w:t>23.07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2773.15</w:t>
            </w:r>
          </w:p>
        </w:tc>
        <w:tc>
          <w:tcPr>
            <w:tcW w:w="2551" w:type="dxa"/>
            <w:vAlign w:val="center"/>
          </w:tcPr>
          <w:p>
            <w:pPr>
              <w:pStyle w:val="16"/>
            </w:pPr>
            <w:r>
              <w:t>2750.08</w:t>
            </w:r>
          </w:p>
        </w:tc>
        <w:tc>
          <w:tcPr>
            <w:tcW w:w="2551" w:type="dxa"/>
            <w:vAlign w:val="center"/>
          </w:tcPr>
          <w:p>
            <w:pPr>
              <w:pStyle w:val="16"/>
            </w:pPr>
            <w:r>
              <w:t>23.07</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455001廊坊市第八小学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2750.08</w:t>
            </w:r>
          </w:p>
        </w:tc>
        <w:tc>
          <w:tcPr>
            <w:tcW w:w="2551" w:type="dxa"/>
            <w:vAlign w:val="center"/>
          </w:tcPr>
          <w:p>
            <w:pPr>
              <w:pStyle w:val="20"/>
            </w:pPr>
            <w:r>
              <w:t>2739.42</w:t>
            </w:r>
          </w:p>
        </w:tc>
        <w:tc>
          <w:tcPr>
            <w:tcW w:w="2551" w:type="dxa"/>
            <w:vAlign w:val="center"/>
          </w:tcPr>
          <w:p>
            <w:pPr>
              <w:pStyle w:val="20"/>
            </w:pPr>
            <w:r>
              <w:t>10.66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2365.02</w:t>
            </w:r>
          </w:p>
        </w:tc>
        <w:tc>
          <w:tcPr>
            <w:tcW w:w="2551" w:type="dxa"/>
            <w:vAlign w:val="center"/>
          </w:tcPr>
          <w:p>
            <w:pPr>
              <w:pStyle w:val="16"/>
            </w:pPr>
            <w:r>
              <w:t>2365.02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661.91</w:t>
            </w:r>
          </w:p>
        </w:tc>
        <w:tc>
          <w:tcPr>
            <w:tcW w:w="2551" w:type="dxa"/>
            <w:vAlign w:val="center"/>
          </w:tcPr>
          <w:p>
            <w:pPr>
              <w:pStyle w:val="16"/>
            </w:pPr>
            <w:r>
              <w:t>661.91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252.17</w:t>
            </w:r>
          </w:p>
        </w:tc>
        <w:tc>
          <w:tcPr>
            <w:tcW w:w="2551" w:type="dxa"/>
            <w:vAlign w:val="center"/>
          </w:tcPr>
          <w:p>
            <w:pPr>
              <w:pStyle w:val="16"/>
            </w:pPr>
            <w:r>
              <w:t>252.17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433.42</w:t>
            </w:r>
          </w:p>
        </w:tc>
        <w:tc>
          <w:tcPr>
            <w:tcW w:w="2551" w:type="dxa"/>
            <w:vAlign w:val="center"/>
          </w:tcPr>
          <w:p>
            <w:pPr>
              <w:pStyle w:val="16"/>
            </w:pPr>
            <w:r>
              <w:t>433.42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518.91</w:t>
            </w:r>
          </w:p>
        </w:tc>
        <w:tc>
          <w:tcPr>
            <w:tcW w:w="2551" w:type="dxa"/>
            <w:vAlign w:val="center"/>
          </w:tcPr>
          <w:p>
            <w:pPr>
              <w:pStyle w:val="16"/>
            </w:pPr>
            <w:r>
              <w:t>518.91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225.80</w:t>
            </w:r>
          </w:p>
        </w:tc>
        <w:tc>
          <w:tcPr>
            <w:tcW w:w="2551" w:type="dxa"/>
            <w:vAlign w:val="center"/>
          </w:tcPr>
          <w:p>
            <w:pPr>
              <w:pStyle w:val="16"/>
            </w:pPr>
            <w:r>
              <w:t>225.80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73.28</w:t>
            </w:r>
          </w:p>
        </w:tc>
        <w:tc>
          <w:tcPr>
            <w:tcW w:w="2551" w:type="dxa"/>
            <w:vAlign w:val="center"/>
          </w:tcPr>
          <w:p>
            <w:pPr>
              <w:pStyle w:val="16"/>
            </w:pPr>
            <w:r>
              <w:t>73.28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7.23</w:t>
            </w:r>
          </w:p>
        </w:tc>
        <w:tc>
          <w:tcPr>
            <w:tcW w:w="2551" w:type="dxa"/>
            <w:vAlign w:val="center"/>
          </w:tcPr>
          <w:p>
            <w:pPr>
              <w:pStyle w:val="16"/>
            </w:pPr>
            <w:r>
              <w:t>7.23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187.11</w:t>
            </w:r>
          </w:p>
        </w:tc>
        <w:tc>
          <w:tcPr>
            <w:tcW w:w="2551" w:type="dxa"/>
            <w:vAlign w:val="center"/>
          </w:tcPr>
          <w:p>
            <w:pPr>
              <w:pStyle w:val="16"/>
            </w:pPr>
            <w:r>
              <w:t>187.11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5.18</w:t>
            </w:r>
          </w:p>
        </w:tc>
        <w:tc>
          <w:tcPr>
            <w:tcW w:w="2551" w:type="dxa"/>
            <w:vAlign w:val="center"/>
          </w:tcPr>
          <w:p>
            <w:pPr>
              <w:pStyle w:val="16"/>
            </w:pPr>
            <w:r>
              <w:t>5.18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10.66</w:t>
            </w:r>
          </w:p>
        </w:tc>
        <w:tc>
          <w:tcPr>
            <w:tcW w:w="2551" w:type="dxa"/>
            <w:vAlign w:val="center"/>
          </w:tcPr>
          <w:p>
            <w:pPr>
              <w:pStyle w:val="16"/>
            </w:pPr>
          </w:p>
        </w:tc>
        <w:tc>
          <w:tcPr>
            <w:tcW w:w="2551" w:type="dxa"/>
            <w:vAlign w:val="center"/>
          </w:tcPr>
          <w:p>
            <w:pPr>
              <w:pStyle w:val="16"/>
            </w:pPr>
            <w:r>
              <w:t>10.66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5.36</w:t>
            </w:r>
          </w:p>
        </w:tc>
        <w:tc>
          <w:tcPr>
            <w:tcW w:w="2551" w:type="dxa"/>
            <w:vAlign w:val="center"/>
          </w:tcPr>
          <w:p>
            <w:pPr>
              <w:pStyle w:val="16"/>
            </w:pPr>
          </w:p>
        </w:tc>
        <w:tc>
          <w:tcPr>
            <w:tcW w:w="2551" w:type="dxa"/>
            <w:vAlign w:val="center"/>
          </w:tcPr>
          <w:p>
            <w:pPr>
              <w:pStyle w:val="16"/>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5.30</w:t>
            </w:r>
          </w:p>
        </w:tc>
        <w:tc>
          <w:tcPr>
            <w:tcW w:w="2551" w:type="dxa"/>
            <w:vAlign w:val="center"/>
          </w:tcPr>
          <w:p>
            <w:pPr>
              <w:pStyle w:val="16"/>
            </w:pPr>
          </w:p>
        </w:tc>
        <w:tc>
          <w:tcPr>
            <w:tcW w:w="2551" w:type="dxa"/>
            <w:vAlign w:val="center"/>
          </w:tcPr>
          <w:p>
            <w:pPr>
              <w:pStyle w:val="16"/>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374.40</w:t>
            </w:r>
          </w:p>
        </w:tc>
        <w:tc>
          <w:tcPr>
            <w:tcW w:w="2551" w:type="dxa"/>
            <w:vAlign w:val="center"/>
          </w:tcPr>
          <w:p>
            <w:pPr>
              <w:pStyle w:val="16"/>
            </w:pPr>
            <w:r>
              <w:t>374.40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373.35</w:t>
            </w:r>
          </w:p>
        </w:tc>
        <w:tc>
          <w:tcPr>
            <w:tcW w:w="2551" w:type="dxa"/>
            <w:vAlign w:val="center"/>
          </w:tcPr>
          <w:p>
            <w:pPr>
              <w:pStyle w:val="16"/>
            </w:pPr>
            <w:r>
              <w:t>373.35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455001廊坊市第八小学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455001廊坊市第八小学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455001廊坊市第八小学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廊坊市第八小学2023年单位预算信息公开情况说明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预算法》、《地方预决算公开操作规程》和《关于进一步推进预算公开工作的实施意见》规定，现将廊坊市第八小学2023年单位预算公开如下：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bookmarkStart w:id="19" w:name="_GoBack"/>
      <w:bookmarkEnd w:id="19"/>
    </w:p>
    <w:p>
      <w:pPr>
        <w:ind w:firstLine="640"/>
      </w:pPr>
      <w:r>
        <w:rPr>
          <w:rFonts w:ascii="方正楷体_GBK" w:hAnsi="方正楷体_GBK" w:eastAsia="方正楷体_GBK" w:cs="方正楷体_GBK"/>
          <w:b/>
          <w:color w:val="000000"/>
          <w:sz w:val="32"/>
        </w:rPr>
        <w:t>单位职责：</w:t>
      </w:r>
    </w:p>
    <w:p>
      <w:pPr>
        <w:pStyle w:val="30"/>
      </w:pPr>
      <w:r>
        <w:t>单位职责</w:t>
      </w:r>
    </w:p>
    <w:p>
      <w:pPr>
        <w:pStyle w:val="30"/>
      </w:pPr>
      <w:r>
        <w:t>（一）贯彻执行党和国家的教育方针、政策、法律法规，</w:t>
      </w:r>
      <w:r>
        <w:rPr>
          <w:rFonts w:hint="eastAsia"/>
          <w:lang w:eastAsia="zh-CN"/>
        </w:rPr>
        <w:t>制订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廊坊市第八小学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反映本部门当年全部收入，2023年预算收入2773.15万元，其中：一般公共预算收入2773.15万元，基金预算收入0万元，财政专户核拨收入0万元，其他来源收入0万元，上年结转0万元。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八小学2023年度部门预算中支出预算的总体情况。2023年支出预算2773.15万元，其中：基本支出2750.08万元，包括人员经费2739.42万元和日常公用经费10.66万元；项目支出23.07万元，全部为本级支出，主要为城乡义务教育生均公用区级经费项目。</w:t>
      </w:r>
    </w:p>
    <w:p>
      <w:pPr>
        <w:pStyle w:val="31"/>
      </w:pPr>
      <w:r>
        <w:t>3、比上年增减情况</w:t>
      </w:r>
    </w:p>
    <w:p>
      <w:pPr>
        <w:pStyle w:val="31"/>
      </w:pPr>
      <w:r>
        <w:t>2023年预算收支安排2773.15万元，较2022年预算增加383.35万元，其中：基本支出增加1735.31万元，增加原因主要为人员经费支出增加；项目支出减少1351.96万元，减少原因主要为城乡义务教育生均公用中央、省级、市级经费调整为追加预算和合同制教师经费转为基本支出。</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运行经费共计安排10.66万元，主要用于办公区的日常维修、办公费用、办公用房水电费、办公用房取暖费、邮电费、差旅费、办公用房物业管理费等日常运行支出。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rPr>
          <w:rFonts w:ascii="方正仿宋_GBK" w:hAnsi="方正楷体_GBK" w:cs="方正楷体_GBK"/>
          <w:color w:val="000000"/>
        </w:rPr>
      </w:pPr>
      <w:r>
        <w:t>逐步制订、完善相关制度，规范教师师德。加强校本培训和继续教育工作，提升教师能力。落实教师评价工作，完善考核机制。搭建教师发展平</w:t>
      </w:r>
      <w:r>
        <w:rPr>
          <w:rFonts w:ascii="方正仿宋_GBK" w:hAnsi="方正楷体_GBK" w:cs="方正楷体_GBK"/>
          <w:color w:val="000000"/>
        </w:rPr>
        <w:t>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eastAsia="方正仿宋_GBK" w:cs="Times New Roman"/>
          <w:sz w:val="28"/>
        </w:rPr>
        <w:t>）</w:t>
      </w:r>
      <w:r>
        <w:rPr>
          <w:rFonts w:hint="eastAsia" w:eastAsia="方正仿宋_GBK" w:cs="Times New Roman"/>
          <w:sz w:val="28"/>
        </w:rPr>
        <w:t>单位</w:t>
      </w:r>
      <w:r>
        <w:rPr>
          <w:rFonts w:eastAsia="方正仿宋_GBK" w:cs="Times New Roman"/>
          <w:sz w:val="28"/>
        </w:rPr>
        <w:t>整体</w:t>
      </w:r>
      <w:r>
        <w:rPr>
          <w:rFonts w:ascii="方正仿宋_GBK" w:hAnsi="方正楷体_GBK" w:eastAsia="方正仿宋_GBK" w:cs="方正楷体_GBK"/>
          <w:color w:val="000000"/>
          <w:sz w:val="28"/>
        </w:rPr>
        <w:t>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1"/>
        <w:gridCol w:w="1195"/>
        <w:gridCol w:w="1985"/>
        <w:gridCol w:w="5349"/>
        <w:gridCol w:w="2268"/>
        <w:gridCol w:w="590"/>
        <w:gridCol w:w="693"/>
        <w:gridCol w:w="1164"/>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119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8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534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26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w:t>
            </w:r>
          </w:p>
          <w:p>
            <w:pPr>
              <w:jc w:val="center"/>
              <w:rPr>
                <w:rFonts w:ascii="方正书宋_GBK" w:eastAsia="方正书宋_GBK"/>
                <w:b/>
                <w:bCs/>
                <w:color w:val="000000"/>
              </w:rPr>
            </w:pPr>
            <w:r>
              <w:rPr>
                <w:rFonts w:hint="eastAsia" w:ascii="方正书宋_GBK" w:eastAsia="方正书宋_GBK"/>
                <w:b/>
                <w:bCs/>
                <w:color w:val="000000"/>
              </w:rPr>
              <w:t>描述</w:t>
            </w:r>
          </w:p>
        </w:tc>
        <w:tc>
          <w:tcPr>
            <w:tcW w:w="2447"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1" w:type="dxa"/>
            <w:vMerge w:val="continue"/>
            <w:shd w:val="clear" w:color="auto" w:fill="auto"/>
            <w:vAlign w:val="center"/>
          </w:tcPr>
          <w:p>
            <w:pPr>
              <w:rPr>
                <w:rFonts w:ascii="方正书宋_GBK" w:hAnsi="宋体" w:eastAsia="方正书宋_GBK" w:cs="宋体"/>
                <w:b/>
                <w:bCs/>
                <w:color w:val="000000"/>
              </w:rPr>
            </w:pPr>
          </w:p>
        </w:tc>
        <w:tc>
          <w:tcPr>
            <w:tcW w:w="119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98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5349"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268"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5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69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6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1195"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5"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小学生毕业生合格率</w:t>
            </w:r>
          </w:p>
        </w:tc>
        <w:tc>
          <w:tcPr>
            <w:tcW w:w="5349"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20</w:t>
            </w:r>
            <w:r>
              <w:rPr>
                <w:rFonts w:hint="eastAsia" w:ascii="宋体" w:hAnsi="宋体" w:eastAsia="宋体" w:cs="宋体"/>
                <w:color w:val="000000"/>
                <w:sz w:val="22"/>
                <w:szCs w:val="22"/>
              </w:rPr>
              <w:t>分毕业生合格率</w:t>
            </w:r>
            <w:r>
              <w:rPr>
                <w:color w:val="000000"/>
                <w:sz w:val="22"/>
                <w:szCs w:val="22"/>
              </w:rPr>
              <w:t>100%</w:t>
            </w:r>
            <w:r>
              <w:rPr>
                <w:rFonts w:hint="eastAsia" w:ascii="宋体" w:hAnsi="宋体" w:eastAsia="宋体" w:cs="宋体"/>
                <w:color w:val="000000"/>
                <w:sz w:val="22"/>
                <w:szCs w:val="22"/>
              </w:rPr>
              <w:t>得满分，否则不得分</w:t>
            </w:r>
          </w:p>
        </w:tc>
        <w:tc>
          <w:tcPr>
            <w:tcW w:w="2268" w:type="dxa"/>
            <w:vMerge w:val="restar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小学生毕业生合格率</w:t>
            </w:r>
          </w:p>
        </w:tc>
        <w:tc>
          <w:tcPr>
            <w:tcW w:w="590"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693"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116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continue"/>
            <w:shd w:val="clear" w:color="auto" w:fill="auto"/>
            <w:vAlign w:val="center"/>
          </w:tcPr>
          <w:p>
            <w:pPr>
              <w:rPr>
                <w:rFonts w:ascii="方正书宋_GBK" w:hAnsi="宋体" w:eastAsia="方正书宋_GBK" w:cs="宋体"/>
                <w:color w:val="000000"/>
              </w:rPr>
            </w:pPr>
          </w:p>
        </w:tc>
        <w:tc>
          <w:tcPr>
            <w:tcW w:w="1985" w:type="dxa"/>
            <w:vMerge w:val="continue"/>
            <w:shd w:val="clear" w:color="auto" w:fill="auto"/>
            <w:vAlign w:val="center"/>
          </w:tcPr>
          <w:p>
            <w:pPr>
              <w:rPr>
                <w:rFonts w:eastAsia="宋体"/>
                <w:color w:val="000000"/>
                <w:sz w:val="22"/>
                <w:szCs w:val="22"/>
              </w:rPr>
            </w:pPr>
          </w:p>
        </w:tc>
        <w:tc>
          <w:tcPr>
            <w:tcW w:w="5349" w:type="dxa"/>
            <w:vMerge w:val="continue"/>
            <w:shd w:val="clear" w:color="auto" w:fill="auto"/>
            <w:vAlign w:val="center"/>
          </w:tcPr>
          <w:p>
            <w:pPr>
              <w:rPr>
                <w:rFonts w:eastAsia="宋体"/>
                <w:color w:val="000000"/>
                <w:sz w:val="22"/>
                <w:szCs w:val="22"/>
              </w:rPr>
            </w:pPr>
          </w:p>
        </w:tc>
        <w:tc>
          <w:tcPr>
            <w:tcW w:w="2268" w:type="dxa"/>
            <w:vMerge w:val="continue"/>
            <w:shd w:val="clear" w:color="auto" w:fill="auto"/>
            <w:vAlign w:val="center"/>
          </w:tcPr>
          <w:p>
            <w:pPr>
              <w:rPr>
                <w:rFonts w:eastAsia="宋体"/>
                <w:color w:val="000000"/>
                <w:sz w:val="22"/>
                <w:szCs w:val="22"/>
              </w:rPr>
            </w:pPr>
          </w:p>
        </w:tc>
        <w:tc>
          <w:tcPr>
            <w:tcW w:w="590" w:type="dxa"/>
            <w:vMerge w:val="continue"/>
            <w:shd w:val="clear" w:color="auto" w:fill="auto"/>
            <w:vAlign w:val="center"/>
          </w:tcPr>
          <w:p>
            <w:pPr>
              <w:rPr>
                <w:rFonts w:eastAsia="宋体"/>
                <w:color w:val="000000"/>
                <w:sz w:val="22"/>
                <w:szCs w:val="22"/>
              </w:rPr>
            </w:pPr>
          </w:p>
        </w:tc>
        <w:tc>
          <w:tcPr>
            <w:tcW w:w="693" w:type="dxa"/>
            <w:vMerge w:val="continue"/>
            <w:shd w:val="clear" w:color="auto" w:fill="auto"/>
            <w:vAlign w:val="center"/>
          </w:tcPr>
          <w:p>
            <w:pPr>
              <w:rPr>
                <w:rFonts w:eastAsia="宋体"/>
                <w:color w:val="000000"/>
                <w:sz w:val="22"/>
                <w:szCs w:val="22"/>
              </w:rPr>
            </w:pPr>
          </w:p>
        </w:tc>
        <w:tc>
          <w:tcPr>
            <w:tcW w:w="116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985"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重点工作实际完成率</w:t>
            </w:r>
          </w:p>
        </w:tc>
        <w:tc>
          <w:tcPr>
            <w:tcW w:w="5349"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分不低于</w:t>
            </w:r>
            <w:r>
              <w:rPr>
                <w:color w:val="000000"/>
                <w:sz w:val="22"/>
                <w:szCs w:val="22"/>
              </w:rPr>
              <w:t>95%</w:t>
            </w:r>
            <w:r>
              <w:rPr>
                <w:rFonts w:hint="eastAsia" w:ascii="宋体" w:hAnsi="宋体" w:eastAsia="宋体" w:cs="宋体"/>
                <w:color w:val="000000"/>
                <w:sz w:val="22"/>
                <w:szCs w:val="22"/>
              </w:rPr>
              <w:t>得满分，否则不得分</w:t>
            </w:r>
            <w:r>
              <w:rPr>
                <w:color w:val="000000"/>
                <w:sz w:val="22"/>
                <w:szCs w:val="22"/>
              </w:rPr>
              <w:t>5</w:t>
            </w: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268"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重点工作实际完成率</w:t>
            </w:r>
          </w:p>
        </w:tc>
        <w:tc>
          <w:tcPr>
            <w:tcW w:w="590"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693"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6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continue"/>
            <w:shd w:val="clear" w:color="auto" w:fill="auto"/>
            <w:vAlign w:val="center"/>
          </w:tcPr>
          <w:p>
            <w:pPr>
              <w:rPr>
                <w:rFonts w:ascii="方正书宋_GBK" w:hAnsi="宋体" w:eastAsia="方正书宋_GBK" w:cs="宋体"/>
                <w:color w:val="000000"/>
              </w:rPr>
            </w:pPr>
          </w:p>
        </w:tc>
        <w:tc>
          <w:tcPr>
            <w:tcW w:w="1985" w:type="dxa"/>
            <w:vMerge w:val="continue"/>
            <w:shd w:val="clear" w:color="auto" w:fill="auto"/>
            <w:vAlign w:val="center"/>
          </w:tcPr>
          <w:p>
            <w:pPr>
              <w:rPr>
                <w:rFonts w:eastAsia="宋体"/>
                <w:color w:val="000000"/>
                <w:sz w:val="22"/>
                <w:szCs w:val="22"/>
              </w:rPr>
            </w:pPr>
          </w:p>
        </w:tc>
        <w:tc>
          <w:tcPr>
            <w:tcW w:w="5349" w:type="dxa"/>
            <w:vMerge w:val="continue"/>
            <w:shd w:val="clear" w:color="auto" w:fill="auto"/>
            <w:vAlign w:val="center"/>
          </w:tcPr>
          <w:p>
            <w:pPr>
              <w:rPr>
                <w:rFonts w:eastAsia="宋体"/>
                <w:color w:val="000000"/>
                <w:sz w:val="22"/>
                <w:szCs w:val="22"/>
              </w:rPr>
            </w:pPr>
          </w:p>
        </w:tc>
        <w:tc>
          <w:tcPr>
            <w:tcW w:w="2268" w:type="dxa"/>
            <w:vMerge w:val="continue"/>
            <w:shd w:val="clear" w:color="auto" w:fill="auto"/>
            <w:vAlign w:val="center"/>
          </w:tcPr>
          <w:p>
            <w:pPr>
              <w:rPr>
                <w:rFonts w:eastAsia="宋体"/>
                <w:color w:val="000000"/>
                <w:sz w:val="22"/>
                <w:szCs w:val="22"/>
              </w:rPr>
            </w:pPr>
          </w:p>
        </w:tc>
        <w:tc>
          <w:tcPr>
            <w:tcW w:w="590" w:type="dxa"/>
            <w:vMerge w:val="continue"/>
            <w:shd w:val="clear" w:color="auto" w:fill="auto"/>
            <w:vAlign w:val="center"/>
          </w:tcPr>
          <w:p>
            <w:pPr>
              <w:rPr>
                <w:rFonts w:eastAsia="宋体"/>
                <w:color w:val="000000"/>
                <w:sz w:val="22"/>
                <w:szCs w:val="22"/>
              </w:rPr>
            </w:pPr>
          </w:p>
        </w:tc>
        <w:tc>
          <w:tcPr>
            <w:tcW w:w="693" w:type="dxa"/>
            <w:vMerge w:val="continue"/>
            <w:shd w:val="clear" w:color="auto" w:fill="auto"/>
            <w:vAlign w:val="center"/>
          </w:tcPr>
          <w:p>
            <w:pPr>
              <w:rPr>
                <w:rFonts w:eastAsia="宋体"/>
                <w:color w:val="000000"/>
                <w:sz w:val="22"/>
                <w:szCs w:val="22"/>
              </w:rPr>
            </w:pPr>
          </w:p>
        </w:tc>
        <w:tc>
          <w:tcPr>
            <w:tcW w:w="116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985"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学校的各项工作任务及时完成情况</w:t>
            </w:r>
          </w:p>
        </w:tc>
        <w:tc>
          <w:tcPr>
            <w:tcW w:w="5349"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分及时完成得满分，否则不得分</w:t>
            </w:r>
          </w:p>
        </w:tc>
        <w:tc>
          <w:tcPr>
            <w:tcW w:w="2268"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学校的各项工作任务及时完成情况</w:t>
            </w:r>
          </w:p>
        </w:tc>
        <w:tc>
          <w:tcPr>
            <w:tcW w:w="590"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693" w:type="dxa"/>
            <w:vMerge w:val="restart"/>
            <w:shd w:val="clear" w:color="auto" w:fill="auto"/>
            <w:tcMar>
              <w:top w:w="15" w:type="dxa"/>
              <w:left w:w="15" w:type="dxa"/>
              <w:bottom w:w="0" w:type="dxa"/>
              <w:right w:w="15" w:type="dxa"/>
            </w:tcMar>
          </w:tcPr>
          <w:p>
            <w:pPr>
              <w:rPr>
                <w:color w:val="000000"/>
                <w:sz w:val="22"/>
                <w:szCs w:val="22"/>
              </w:rPr>
            </w:pPr>
          </w:p>
        </w:tc>
        <w:tc>
          <w:tcPr>
            <w:tcW w:w="1164"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及时</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continue"/>
            <w:shd w:val="clear" w:color="auto" w:fill="auto"/>
            <w:vAlign w:val="center"/>
          </w:tcPr>
          <w:p>
            <w:pPr>
              <w:rPr>
                <w:rFonts w:ascii="方正书宋_GBK" w:hAnsi="宋体" w:eastAsia="方正书宋_GBK" w:cs="宋体"/>
                <w:color w:val="000000"/>
              </w:rPr>
            </w:pPr>
          </w:p>
        </w:tc>
        <w:tc>
          <w:tcPr>
            <w:tcW w:w="1985" w:type="dxa"/>
            <w:vMerge w:val="continue"/>
            <w:shd w:val="clear" w:color="auto" w:fill="auto"/>
            <w:vAlign w:val="center"/>
          </w:tcPr>
          <w:p>
            <w:pPr>
              <w:rPr>
                <w:rFonts w:eastAsia="宋体"/>
                <w:color w:val="000000"/>
                <w:sz w:val="22"/>
                <w:szCs w:val="22"/>
              </w:rPr>
            </w:pPr>
          </w:p>
        </w:tc>
        <w:tc>
          <w:tcPr>
            <w:tcW w:w="5349" w:type="dxa"/>
            <w:vMerge w:val="continue"/>
            <w:shd w:val="clear" w:color="auto" w:fill="auto"/>
            <w:vAlign w:val="center"/>
          </w:tcPr>
          <w:p>
            <w:pPr>
              <w:rPr>
                <w:rFonts w:eastAsia="宋体"/>
                <w:color w:val="000000"/>
                <w:sz w:val="22"/>
                <w:szCs w:val="22"/>
              </w:rPr>
            </w:pPr>
          </w:p>
        </w:tc>
        <w:tc>
          <w:tcPr>
            <w:tcW w:w="2268" w:type="dxa"/>
            <w:vMerge w:val="continue"/>
            <w:shd w:val="clear" w:color="auto" w:fill="auto"/>
            <w:vAlign w:val="center"/>
          </w:tcPr>
          <w:p>
            <w:pPr>
              <w:rPr>
                <w:rFonts w:eastAsia="宋体"/>
                <w:color w:val="000000"/>
                <w:sz w:val="22"/>
                <w:szCs w:val="22"/>
              </w:rPr>
            </w:pPr>
          </w:p>
        </w:tc>
        <w:tc>
          <w:tcPr>
            <w:tcW w:w="590" w:type="dxa"/>
            <w:vMerge w:val="continue"/>
            <w:shd w:val="clear" w:color="auto" w:fill="auto"/>
            <w:vAlign w:val="center"/>
          </w:tcPr>
          <w:p>
            <w:pPr>
              <w:rPr>
                <w:rFonts w:eastAsia="宋体"/>
                <w:color w:val="000000"/>
                <w:sz w:val="22"/>
                <w:szCs w:val="22"/>
              </w:rPr>
            </w:pPr>
          </w:p>
        </w:tc>
        <w:tc>
          <w:tcPr>
            <w:tcW w:w="693" w:type="dxa"/>
            <w:vMerge w:val="continue"/>
            <w:shd w:val="clear" w:color="auto" w:fill="auto"/>
            <w:vAlign w:val="center"/>
          </w:tcPr>
          <w:p>
            <w:pPr>
              <w:rPr>
                <w:rFonts w:eastAsia="宋体"/>
                <w:color w:val="000000"/>
                <w:sz w:val="22"/>
                <w:szCs w:val="22"/>
              </w:rPr>
            </w:pPr>
          </w:p>
        </w:tc>
        <w:tc>
          <w:tcPr>
            <w:tcW w:w="116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985"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教育经费使用控制率</w:t>
            </w:r>
          </w:p>
        </w:tc>
        <w:tc>
          <w:tcPr>
            <w:tcW w:w="5349"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分教育经费决算数不大于调整预算数得满分，否则不得分</w:t>
            </w:r>
          </w:p>
        </w:tc>
        <w:tc>
          <w:tcPr>
            <w:tcW w:w="2268"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支出的公用经费总额与预算安排的比率</w:t>
            </w:r>
          </w:p>
        </w:tc>
        <w:tc>
          <w:tcPr>
            <w:tcW w:w="590"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693" w:type="dxa"/>
            <w:vMerge w:val="restart"/>
            <w:shd w:val="clear" w:color="auto" w:fill="auto"/>
            <w:tcMar>
              <w:top w:w="15" w:type="dxa"/>
              <w:left w:w="15" w:type="dxa"/>
              <w:bottom w:w="0" w:type="dxa"/>
              <w:right w:w="15" w:type="dxa"/>
            </w:tcMar>
          </w:tcPr>
          <w:p>
            <w:pPr>
              <w:rPr>
                <w:color w:val="000000"/>
                <w:sz w:val="22"/>
                <w:szCs w:val="22"/>
              </w:rPr>
            </w:pPr>
          </w:p>
        </w:tc>
        <w:tc>
          <w:tcPr>
            <w:tcW w:w="1164"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教育经费决算数不大于调整预算数</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continue"/>
            <w:shd w:val="clear" w:color="auto" w:fill="auto"/>
            <w:vAlign w:val="center"/>
          </w:tcPr>
          <w:p>
            <w:pPr>
              <w:rPr>
                <w:rFonts w:ascii="方正书宋_GBK" w:hAnsi="宋体" w:eastAsia="方正书宋_GBK" w:cs="宋体"/>
                <w:color w:val="000000"/>
              </w:rPr>
            </w:pPr>
          </w:p>
        </w:tc>
        <w:tc>
          <w:tcPr>
            <w:tcW w:w="1985" w:type="dxa"/>
            <w:vMerge w:val="continue"/>
            <w:shd w:val="clear" w:color="auto" w:fill="auto"/>
            <w:vAlign w:val="center"/>
          </w:tcPr>
          <w:p>
            <w:pPr>
              <w:rPr>
                <w:rFonts w:eastAsia="宋体"/>
                <w:color w:val="000000"/>
                <w:sz w:val="22"/>
                <w:szCs w:val="22"/>
              </w:rPr>
            </w:pPr>
          </w:p>
        </w:tc>
        <w:tc>
          <w:tcPr>
            <w:tcW w:w="5349" w:type="dxa"/>
            <w:vMerge w:val="continue"/>
            <w:shd w:val="clear" w:color="auto" w:fill="auto"/>
            <w:vAlign w:val="center"/>
          </w:tcPr>
          <w:p>
            <w:pPr>
              <w:rPr>
                <w:rFonts w:eastAsia="宋体"/>
                <w:color w:val="000000"/>
                <w:sz w:val="22"/>
                <w:szCs w:val="22"/>
              </w:rPr>
            </w:pPr>
          </w:p>
        </w:tc>
        <w:tc>
          <w:tcPr>
            <w:tcW w:w="2268" w:type="dxa"/>
            <w:vMerge w:val="continue"/>
            <w:shd w:val="clear" w:color="auto" w:fill="auto"/>
            <w:vAlign w:val="center"/>
          </w:tcPr>
          <w:p>
            <w:pPr>
              <w:rPr>
                <w:rFonts w:eastAsia="宋体"/>
                <w:color w:val="000000"/>
                <w:sz w:val="22"/>
                <w:szCs w:val="22"/>
              </w:rPr>
            </w:pPr>
          </w:p>
        </w:tc>
        <w:tc>
          <w:tcPr>
            <w:tcW w:w="590" w:type="dxa"/>
            <w:vMerge w:val="continue"/>
            <w:shd w:val="clear" w:color="auto" w:fill="auto"/>
            <w:vAlign w:val="center"/>
          </w:tcPr>
          <w:p>
            <w:pPr>
              <w:rPr>
                <w:rFonts w:eastAsia="宋体"/>
                <w:color w:val="000000"/>
                <w:sz w:val="22"/>
                <w:szCs w:val="22"/>
              </w:rPr>
            </w:pPr>
          </w:p>
        </w:tc>
        <w:tc>
          <w:tcPr>
            <w:tcW w:w="693" w:type="dxa"/>
            <w:vMerge w:val="continue"/>
            <w:shd w:val="clear" w:color="auto" w:fill="auto"/>
            <w:vAlign w:val="center"/>
          </w:tcPr>
          <w:p>
            <w:pPr>
              <w:rPr>
                <w:rFonts w:eastAsia="宋体"/>
                <w:color w:val="000000"/>
                <w:sz w:val="22"/>
                <w:szCs w:val="22"/>
              </w:rPr>
            </w:pPr>
          </w:p>
        </w:tc>
        <w:tc>
          <w:tcPr>
            <w:tcW w:w="116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985"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采购物资、建设工程合格率</w:t>
            </w:r>
          </w:p>
        </w:tc>
        <w:tc>
          <w:tcPr>
            <w:tcW w:w="5349"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20</w:t>
            </w:r>
            <w:r>
              <w:rPr>
                <w:rFonts w:hint="eastAsia" w:ascii="宋体" w:hAnsi="宋体" w:eastAsia="宋体" w:cs="宋体"/>
                <w:color w:val="000000"/>
                <w:sz w:val="22"/>
                <w:szCs w:val="22"/>
              </w:rPr>
              <w:t>分合格率</w:t>
            </w:r>
            <w:r>
              <w:rPr>
                <w:color w:val="000000"/>
                <w:sz w:val="22"/>
                <w:szCs w:val="22"/>
              </w:rPr>
              <w:t>100%</w:t>
            </w:r>
            <w:r>
              <w:rPr>
                <w:rFonts w:hint="eastAsia" w:ascii="宋体" w:hAnsi="宋体" w:eastAsia="宋体" w:cs="宋体"/>
                <w:color w:val="000000"/>
                <w:sz w:val="22"/>
                <w:szCs w:val="22"/>
              </w:rPr>
              <w:t>得满分，否则不得分</w:t>
            </w:r>
          </w:p>
        </w:tc>
        <w:tc>
          <w:tcPr>
            <w:tcW w:w="2268"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采购物资、建设工程合格率</w:t>
            </w:r>
          </w:p>
        </w:tc>
        <w:tc>
          <w:tcPr>
            <w:tcW w:w="590"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693"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116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continue"/>
            <w:shd w:val="clear" w:color="auto" w:fill="auto"/>
            <w:vAlign w:val="center"/>
          </w:tcPr>
          <w:p>
            <w:pPr>
              <w:rPr>
                <w:rFonts w:ascii="方正书宋_GBK" w:hAnsi="宋体" w:eastAsia="方正书宋_GBK" w:cs="宋体"/>
                <w:color w:val="000000"/>
              </w:rPr>
            </w:pPr>
          </w:p>
        </w:tc>
        <w:tc>
          <w:tcPr>
            <w:tcW w:w="1985" w:type="dxa"/>
            <w:vMerge w:val="continue"/>
            <w:shd w:val="clear" w:color="auto" w:fill="auto"/>
            <w:vAlign w:val="center"/>
          </w:tcPr>
          <w:p>
            <w:pPr>
              <w:rPr>
                <w:rFonts w:eastAsia="宋体"/>
                <w:color w:val="000000"/>
                <w:sz w:val="22"/>
                <w:szCs w:val="22"/>
              </w:rPr>
            </w:pPr>
          </w:p>
        </w:tc>
        <w:tc>
          <w:tcPr>
            <w:tcW w:w="5349" w:type="dxa"/>
            <w:vMerge w:val="continue"/>
            <w:shd w:val="clear" w:color="auto" w:fill="auto"/>
            <w:vAlign w:val="center"/>
          </w:tcPr>
          <w:p>
            <w:pPr>
              <w:rPr>
                <w:rFonts w:eastAsia="宋体"/>
                <w:color w:val="000000"/>
                <w:sz w:val="22"/>
                <w:szCs w:val="22"/>
              </w:rPr>
            </w:pPr>
          </w:p>
        </w:tc>
        <w:tc>
          <w:tcPr>
            <w:tcW w:w="2268" w:type="dxa"/>
            <w:vMerge w:val="continue"/>
            <w:shd w:val="clear" w:color="auto" w:fill="auto"/>
            <w:vAlign w:val="center"/>
          </w:tcPr>
          <w:p>
            <w:pPr>
              <w:rPr>
                <w:rFonts w:eastAsia="宋体"/>
                <w:color w:val="000000"/>
                <w:sz w:val="22"/>
                <w:szCs w:val="22"/>
              </w:rPr>
            </w:pPr>
          </w:p>
        </w:tc>
        <w:tc>
          <w:tcPr>
            <w:tcW w:w="590" w:type="dxa"/>
            <w:vMerge w:val="continue"/>
            <w:shd w:val="clear" w:color="auto" w:fill="auto"/>
            <w:vAlign w:val="center"/>
          </w:tcPr>
          <w:p>
            <w:pPr>
              <w:rPr>
                <w:rFonts w:eastAsia="宋体"/>
                <w:color w:val="000000"/>
                <w:sz w:val="22"/>
                <w:szCs w:val="22"/>
              </w:rPr>
            </w:pPr>
          </w:p>
        </w:tc>
        <w:tc>
          <w:tcPr>
            <w:tcW w:w="693" w:type="dxa"/>
            <w:vMerge w:val="continue"/>
            <w:shd w:val="clear" w:color="auto" w:fill="auto"/>
            <w:vAlign w:val="center"/>
          </w:tcPr>
          <w:p>
            <w:pPr>
              <w:rPr>
                <w:rFonts w:eastAsia="宋体"/>
                <w:color w:val="000000"/>
                <w:sz w:val="22"/>
                <w:szCs w:val="22"/>
              </w:rPr>
            </w:pPr>
          </w:p>
        </w:tc>
        <w:tc>
          <w:tcPr>
            <w:tcW w:w="116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521"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1195"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5"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义务教育高质量发展</w:t>
            </w:r>
          </w:p>
        </w:tc>
        <w:tc>
          <w:tcPr>
            <w:tcW w:w="5349"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分学生、家长、社会对学校整体满意度达到</w:t>
            </w:r>
            <w:r>
              <w:rPr>
                <w:color w:val="000000"/>
                <w:sz w:val="22"/>
                <w:szCs w:val="22"/>
              </w:rPr>
              <w:t>95%</w:t>
            </w:r>
            <w:r>
              <w:rPr>
                <w:rFonts w:hint="eastAsia" w:ascii="宋体" w:hAnsi="宋体" w:eastAsia="宋体" w:cs="宋体"/>
                <w:color w:val="000000"/>
                <w:sz w:val="22"/>
                <w:szCs w:val="22"/>
              </w:rPr>
              <w:t>得满分，每降低</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推动义务教育从数量扩张向质量提高转变</w:t>
            </w:r>
          </w:p>
        </w:tc>
        <w:tc>
          <w:tcPr>
            <w:tcW w:w="590"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693" w:type="dxa"/>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64"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部门职责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服务对象满意度指标</w:t>
            </w:r>
          </w:p>
        </w:tc>
        <w:tc>
          <w:tcPr>
            <w:tcW w:w="198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家长的满意程度</w:t>
            </w:r>
          </w:p>
        </w:tc>
        <w:tc>
          <w:tcPr>
            <w:tcW w:w="5349" w:type="dxa"/>
            <w:shd w:val="clear" w:color="auto" w:fill="auto"/>
            <w:tcMar>
              <w:top w:w="15" w:type="dxa"/>
              <w:left w:w="15" w:type="dxa"/>
              <w:bottom w:w="0" w:type="dxa"/>
              <w:right w:w="15" w:type="dxa"/>
            </w:tcMar>
          </w:tcPr>
          <w:p>
            <w:pPr>
              <w:rPr>
                <w:color w:val="000000"/>
                <w:sz w:val="22"/>
                <w:szCs w:val="22"/>
              </w:rPr>
            </w:pPr>
            <w:r>
              <w:rPr>
                <w:color w:val="000000"/>
                <w:sz w:val="22"/>
                <w:szCs w:val="22"/>
              </w:rPr>
              <w:t>10</w:t>
            </w:r>
            <w:r>
              <w:rPr>
                <w:rFonts w:hint="eastAsia" w:ascii="宋体" w:hAnsi="宋体" w:eastAsia="宋体" w:cs="宋体"/>
                <w:color w:val="000000"/>
                <w:sz w:val="22"/>
                <w:szCs w:val="22"/>
              </w:rPr>
              <w:t>分家长的满意度达到</w:t>
            </w:r>
            <w:r>
              <w:rPr>
                <w:color w:val="000000"/>
                <w:sz w:val="22"/>
                <w:szCs w:val="22"/>
              </w:rPr>
              <w:t>95%</w:t>
            </w:r>
            <w:r>
              <w:rPr>
                <w:rFonts w:hint="eastAsia" w:ascii="宋体" w:hAnsi="宋体" w:eastAsia="宋体" w:cs="宋体"/>
                <w:color w:val="000000"/>
                <w:sz w:val="22"/>
                <w:szCs w:val="22"/>
              </w:rPr>
              <w:t>得满分，每降低</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26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家长的满意程度</w:t>
            </w:r>
          </w:p>
        </w:tc>
        <w:tc>
          <w:tcPr>
            <w:tcW w:w="590"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693" w:type="dxa"/>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64"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服务对象满意度指标</w:t>
            </w:r>
          </w:p>
        </w:tc>
        <w:tc>
          <w:tcPr>
            <w:tcW w:w="1985" w:type="dxa"/>
            <w:vMerge w:val="restart"/>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在校师生的满意程度</w:t>
            </w:r>
          </w:p>
        </w:tc>
        <w:tc>
          <w:tcPr>
            <w:tcW w:w="5349" w:type="dxa"/>
            <w:vMerge w:val="restart"/>
            <w:shd w:val="clear" w:color="auto" w:fill="auto"/>
            <w:noWrap/>
            <w:tcMar>
              <w:top w:w="15" w:type="dxa"/>
              <w:left w:w="15" w:type="dxa"/>
              <w:bottom w:w="0" w:type="dxa"/>
              <w:right w:w="15" w:type="dxa"/>
            </w:tcMar>
          </w:tcPr>
          <w:p>
            <w:pPr>
              <w:rPr>
                <w:color w:val="000000"/>
                <w:sz w:val="22"/>
                <w:szCs w:val="22"/>
              </w:rPr>
            </w:pPr>
            <w:r>
              <w:rPr>
                <w:color w:val="000000"/>
                <w:sz w:val="22"/>
                <w:szCs w:val="22"/>
              </w:rPr>
              <w:t>10</w:t>
            </w:r>
            <w:r>
              <w:rPr>
                <w:rFonts w:hint="eastAsia" w:ascii="宋体" w:hAnsi="宋体" w:eastAsia="宋体" w:cs="宋体"/>
                <w:color w:val="000000"/>
                <w:sz w:val="22"/>
                <w:szCs w:val="22"/>
              </w:rPr>
              <w:t>分在校师生的满意度达到</w:t>
            </w:r>
            <w:r>
              <w:rPr>
                <w:color w:val="000000"/>
                <w:sz w:val="22"/>
                <w:szCs w:val="22"/>
              </w:rPr>
              <w:t>95%</w:t>
            </w:r>
            <w:r>
              <w:rPr>
                <w:rFonts w:hint="eastAsia" w:ascii="宋体" w:hAnsi="宋体" w:eastAsia="宋体" w:cs="宋体"/>
                <w:color w:val="000000"/>
                <w:sz w:val="22"/>
                <w:szCs w:val="22"/>
              </w:rPr>
              <w:t>得满分，每降低</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268" w:type="dxa"/>
            <w:vMerge w:val="restart"/>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在校师生的满意程度</w:t>
            </w:r>
          </w:p>
        </w:tc>
        <w:tc>
          <w:tcPr>
            <w:tcW w:w="590"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693"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6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21" w:type="dxa"/>
            <w:vMerge w:val="continue"/>
            <w:shd w:val="clear" w:color="auto" w:fill="auto"/>
            <w:vAlign w:val="center"/>
          </w:tcPr>
          <w:p>
            <w:pPr>
              <w:rPr>
                <w:rFonts w:ascii="方正书宋_GBK" w:hAnsi="宋体" w:eastAsia="方正书宋_GBK" w:cs="宋体"/>
                <w:color w:val="000000"/>
              </w:rPr>
            </w:pPr>
          </w:p>
        </w:tc>
        <w:tc>
          <w:tcPr>
            <w:tcW w:w="1195" w:type="dxa"/>
            <w:vMerge w:val="continue"/>
            <w:shd w:val="clear" w:color="auto" w:fill="auto"/>
            <w:vAlign w:val="center"/>
          </w:tcPr>
          <w:p>
            <w:pPr>
              <w:rPr>
                <w:rFonts w:eastAsia="宋体"/>
                <w:color w:val="000000"/>
                <w:sz w:val="22"/>
                <w:szCs w:val="22"/>
              </w:rPr>
            </w:pPr>
          </w:p>
        </w:tc>
        <w:tc>
          <w:tcPr>
            <w:tcW w:w="1985" w:type="dxa"/>
            <w:vMerge w:val="continue"/>
            <w:shd w:val="clear" w:color="auto" w:fill="auto"/>
            <w:vAlign w:val="center"/>
          </w:tcPr>
          <w:p>
            <w:pPr>
              <w:rPr>
                <w:rFonts w:eastAsia="宋体"/>
                <w:color w:val="000000"/>
                <w:sz w:val="22"/>
                <w:szCs w:val="22"/>
              </w:rPr>
            </w:pPr>
          </w:p>
        </w:tc>
        <w:tc>
          <w:tcPr>
            <w:tcW w:w="5349" w:type="dxa"/>
            <w:vMerge w:val="continue"/>
            <w:shd w:val="clear" w:color="auto" w:fill="auto"/>
            <w:vAlign w:val="center"/>
          </w:tcPr>
          <w:p>
            <w:pPr>
              <w:rPr>
                <w:rFonts w:eastAsia="宋体"/>
                <w:color w:val="000000"/>
                <w:sz w:val="22"/>
                <w:szCs w:val="22"/>
              </w:rPr>
            </w:pPr>
          </w:p>
        </w:tc>
        <w:tc>
          <w:tcPr>
            <w:tcW w:w="2268" w:type="dxa"/>
            <w:vMerge w:val="continue"/>
            <w:shd w:val="clear" w:color="auto" w:fill="auto"/>
            <w:vAlign w:val="center"/>
          </w:tcPr>
          <w:p>
            <w:pPr>
              <w:rPr>
                <w:rFonts w:eastAsia="宋体"/>
                <w:color w:val="000000"/>
                <w:sz w:val="22"/>
                <w:szCs w:val="22"/>
              </w:rPr>
            </w:pPr>
          </w:p>
        </w:tc>
        <w:tc>
          <w:tcPr>
            <w:tcW w:w="590" w:type="dxa"/>
            <w:vMerge w:val="continue"/>
            <w:shd w:val="clear" w:color="auto" w:fill="auto"/>
            <w:vAlign w:val="center"/>
          </w:tcPr>
          <w:p>
            <w:pPr>
              <w:rPr>
                <w:rFonts w:eastAsia="宋体"/>
                <w:color w:val="000000"/>
                <w:sz w:val="22"/>
                <w:szCs w:val="22"/>
              </w:rPr>
            </w:pPr>
          </w:p>
        </w:tc>
        <w:tc>
          <w:tcPr>
            <w:tcW w:w="693" w:type="dxa"/>
            <w:vMerge w:val="continue"/>
            <w:shd w:val="clear" w:color="auto" w:fill="auto"/>
            <w:vAlign w:val="center"/>
          </w:tcPr>
          <w:p>
            <w:pPr>
              <w:rPr>
                <w:rFonts w:eastAsia="宋体"/>
                <w:color w:val="000000"/>
                <w:sz w:val="22"/>
                <w:szCs w:val="22"/>
              </w:rPr>
            </w:pPr>
          </w:p>
        </w:tc>
        <w:tc>
          <w:tcPr>
            <w:tcW w:w="116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3139人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2023年，廊坊市第八小学安排政府采购预算0.00万元。具体内容见下表。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455001廊坊市第八小学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廊坊市第八小学上年末固定资产金额为564.34万元（详见下表）。本年度拟购置固定资产总额为80.26万元，已按要求列入政府采购预算，详见政府采购预算表。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455001廊坊市第八小学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564.34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4510</w:t>
            </w:r>
          </w:p>
        </w:tc>
        <w:tc>
          <w:tcPr>
            <w:tcW w:w="2835" w:type="dxa"/>
            <w:vAlign w:val="center"/>
          </w:tcPr>
          <w:p>
            <w:pPr>
              <w:pStyle w:val="16"/>
            </w:pPr>
            <w:r>
              <w:t>308.00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4510</w:t>
            </w:r>
          </w:p>
        </w:tc>
        <w:tc>
          <w:tcPr>
            <w:tcW w:w="2835" w:type="dxa"/>
            <w:vAlign w:val="center"/>
          </w:tcPr>
          <w:p>
            <w:pPr>
              <w:pStyle w:val="16"/>
            </w:pPr>
            <w:r>
              <w:t>308.00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171</w:t>
            </w:r>
          </w:p>
        </w:tc>
        <w:tc>
          <w:tcPr>
            <w:tcW w:w="2835" w:type="dxa"/>
            <w:vAlign w:val="center"/>
          </w:tcPr>
          <w:p>
            <w:pPr>
              <w:pStyle w:val="16"/>
            </w:pPr>
            <w:r>
              <w:t>256.34</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3E5D5B"/>
    <w:rsid w:val="0037799B"/>
    <w:rsid w:val="003E5D5B"/>
    <w:rsid w:val="00D032F6"/>
    <w:rsid w:val="00DD4045"/>
    <w:rsid w:val="26CE58C9"/>
    <w:rsid w:val="53B71126"/>
    <w:rsid w:val="6F4D1A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2023-03-13T11:07:57Z</dcterms:created>
  <dcterms:modified xsi:type="dcterms:W3CDTF">2023-03-13T03:07:57Z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2023-03-13T11:07:57Z</dcterms:created>
  <dcterms:modified xsi:type="dcterms:W3CDTF">2023-03-13T03:07:57Z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2023-03-13T11:08:00Z</dcterms:created>
  <dcterms:modified xsi:type="dcterms:W3CDTF">2023-03-13T03:08:00Z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2023-03-13T11:08:01Z</dcterms:created>
  <dcterms:modified xsi:type="dcterms:W3CDTF">2023-03-13T03:08:01Z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2023-03-13T11:08:00Z</dcterms:created>
  <dcterms:modified xsi:type="dcterms:W3CDTF">2023-03-13T03:08:00Z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2023-03-13T11:07:58Z</dcterms:created>
  <dcterms:modified xsi:type="dcterms:W3CDTF">2023-03-13T03:07:58Z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2023-03-13T11:07:57Z</dcterms:created>
  <dcterms:modified xsi:type="dcterms:W3CDTF">2023-03-13T03:07:57Z</dcterms:modified>
</cp:coreProperties>
</file>

<file path=customXml/itemProps1.xml><?xml version="1.0" encoding="utf-8"?>
<ds:datastoreItem xmlns:ds="http://schemas.openxmlformats.org/officeDocument/2006/customXml" ds:itemID="{FC45B944-92D0-4689-B962-6829D8EBA9BA}">
  <ds:schemaRefs/>
</ds:datastoreItem>
</file>

<file path=customXml/itemProps10.xml><?xml version="1.0" encoding="utf-8"?>
<ds:datastoreItem xmlns:ds="http://schemas.openxmlformats.org/officeDocument/2006/customXml" ds:itemID="{F04B0182-392B-4A88-A490-89F48E0D9C8F}">
  <ds:schemaRefs/>
</ds:datastoreItem>
</file>

<file path=customXml/itemProps11.xml><?xml version="1.0" encoding="utf-8"?>
<ds:datastoreItem xmlns:ds="http://schemas.openxmlformats.org/officeDocument/2006/customXml" ds:itemID="{B900F78D-79E8-4A49-B005-CCFB179F44F7}">
  <ds:schemaRefs/>
</ds:datastoreItem>
</file>

<file path=customXml/itemProps12.xml><?xml version="1.0" encoding="utf-8"?>
<ds:datastoreItem xmlns:ds="http://schemas.openxmlformats.org/officeDocument/2006/customXml" ds:itemID="{B8665849-7161-49C2-9579-CD852650B98F}">
  <ds:schemaRefs/>
</ds:datastoreItem>
</file>

<file path=customXml/itemProps13.xml><?xml version="1.0" encoding="utf-8"?>
<ds:datastoreItem xmlns:ds="http://schemas.openxmlformats.org/officeDocument/2006/customXml" ds:itemID="{63B139FA-5C64-4777-A50E-51179A8EECE6}">
  <ds:schemaRefs/>
</ds:datastoreItem>
</file>

<file path=customXml/itemProps14.xml><?xml version="1.0" encoding="utf-8"?>
<ds:datastoreItem xmlns:ds="http://schemas.openxmlformats.org/officeDocument/2006/customXml" ds:itemID="{9CA1E81C-8B5B-4BA3-862A-2555E14F83C2}">
  <ds:schemaRefs/>
</ds:datastoreItem>
</file>

<file path=customXml/itemProps2.xml><?xml version="1.0" encoding="utf-8"?>
<ds:datastoreItem xmlns:ds="http://schemas.openxmlformats.org/officeDocument/2006/customXml" ds:itemID="{2BD1DBAC-7F92-414C-BD79-2FA8C58DED13}">
  <ds:schemaRefs/>
</ds:datastoreItem>
</file>

<file path=customXml/itemProps3.xml><?xml version="1.0" encoding="utf-8"?>
<ds:datastoreItem xmlns:ds="http://schemas.openxmlformats.org/officeDocument/2006/customXml" ds:itemID="{0D25A757-35CE-44D4-A84E-365982987CBC}">
  <ds:schemaRefs/>
</ds:datastoreItem>
</file>

<file path=customXml/itemProps4.xml><?xml version="1.0" encoding="utf-8"?>
<ds:datastoreItem xmlns:ds="http://schemas.openxmlformats.org/officeDocument/2006/customXml" ds:itemID="{1C90C7E8-B2F1-4547-8DB6-042561F4212C}">
  <ds:schemaRefs/>
</ds:datastoreItem>
</file>

<file path=customXml/itemProps5.xml><?xml version="1.0" encoding="utf-8"?>
<ds:datastoreItem xmlns:ds="http://schemas.openxmlformats.org/officeDocument/2006/customXml" ds:itemID="{93903D94-DB52-490A-A368-479531E84F37}">
  <ds:schemaRefs/>
</ds:datastoreItem>
</file>

<file path=customXml/itemProps6.xml><?xml version="1.0" encoding="utf-8"?>
<ds:datastoreItem xmlns:ds="http://schemas.openxmlformats.org/officeDocument/2006/customXml" ds:itemID="{D3CDDDE8-EE86-4845-B92B-EF78F36F506B}">
  <ds:schemaRefs/>
</ds:datastoreItem>
</file>

<file path=customXml/itemProps7.xml><?xml version="1.0" encoding="utf-8"?>
<ds:datastoreItem xmlns:ds="http://schemas.openxmlformats.org/officeDocument/2006/customXml" ds:itemID="{1E020083-231E-45B8-BC5E-D2C2CF311761}">
  <ds:schemaRefs/>
</ds:datastoreItem>
</file>

<file path=customXml/itemProps8.xml><?xml version="1.0" encoding="utf-8"?>
<ds:datastoreItem xmlns:ds="http://schemas.openxmlformats.org/officeDocument/2006/customXml" ds:itemID="{DC462130-F60C-420D-B5E6-0C04A87CD968}">
  <ds:schemaRefs/>
</ds:datastoreItem>
</file>

<file path=customXml/itemProps9.xml><?xml version="1.0" encoding="utf-8"?>
<ds:datastoreItem xmlns:ds="http://schemas.openxmlformats.org/officeDocument/2006/customXml" ds:itemID="{6FF1533E-60C0-4BA6-9BB1-A162A3E4016B}">
  <ds:schemaRefs/>
</ds:datastoreItem>
</file>

<file path=docProps/app.xml><?xml version="1.0" encoding="utf-8"?>
<Properties xmlns="http://schemas.openxmlformats.org/officeDocument/2006/extended-properties" xmlns:vt="http://schemas.openxmlformats.org/officeDocument/2006/docPropsVTypes">
  <Template>Normal</Template>
  <Pages>25</Pages>
  <Words>1508</Words>
  <Characters>8601</Characters>
  <Lines>71</Lines>
  <Paragraphs>20</Paragraphs>
  <TotalTime>2</TotalTime>
  <ScaleCrop>false</ScaleCrop>
  <LinksUpToDate>false</LinksUpToDate>
  <CharactersWithSpaces>10089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Administrator</cp:lastModifiedBy>
  <dcterms:modified xsi:type="dcterms:W3CDTF">2024-01-10T10:27:39Z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E30815F8BB1A4A06B76872C1E7D6CF6B</vt:lpwstr>
  </property>
</Properties>
</file>