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14</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25</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463廊坊市第二十三小学</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1351.57</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1351.57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1351.57</w:t>
            </w:r>
          </w:p>
        </w:tc>
        <w:tc>
          <w:tcPr>
            <w:tcW w:w="4535" w:type="dxa"/>
            <w:vAlign w:val="center"/>
          </w:tcPr>
          <w:p>
            <w:pPr>
              <w:pStyle w:val="19"/>
            </w:pPr>
            <w:r>
              <w:t>本年支出合计</w:t>
            </w:r>
          </w:p>
        </w:tc>
        <w:tc>
          <w:tcPr>
            <w:tcW w:w="2126" w:type="dxa"/>
            <w:vAlign w:val="center"/>
          </w:tcPr>
          <w:p>
            <w:pPr>
              <w:pStyle w:val="20"/>
            </w:pPr>
            <w:r>
              <w:t>1351.57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1351.57</w:t>
            </w:r>
          </w:p>
        </w:tc>
        <w:tc>
          <w:tcPr>
            <w:tcW w:w="4535" w:type="dxa"/>
            <w:vAlign w:val="center"/>
          </w:tcPr>
          <w:p>
            <w:pPr>
              <w:pStyle w:val="19"/>
            </w:pPr>
            <w:r>
              <w:t>支出总计</w:t>
            </w:r>
          </w:p>
        </w:tc>
        <w:tc>
          <w:tcPr>
            <w:tcW w:w="2126" w:type="dxa"/>
            <w:vAlign w:val="center"/>
          </w:tcPr>
          <w:p>
            <w:pPr>
              <w:pStyle w:val="20"/>
            </w:pPr>
            <w:r>
              <w:t>1351.57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463廊坊市第二十三小学</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1351.57</w:t>
            </w:r>
          </w:p>
        </w:tc>
        <w:tc>
          <w:tcPr>
            <w:tcW w:w="1134" w:type="dxa"/>
            <w:vAlign w:val="center"/>
          </w:tcPr>
          <w:p>
            <w:pPr>
              <w:pStyle w:val="20"/>
            </w:pPr>
            <w:r>
              <w:t>1351.57</w:t>
            </w:r>
          </w:p>
        </w:tc>
        <w:tc>
          <w:tcPr>
            <w:tcW w:w="1134" w:type="dxa"/>
            <w:vAlign w:val="center"/>
          </w:tcPr>
          <w:p>
            <w:pPr>
              <w:pStyle w:val="20"/>
            </w:pPr>
            <w:r>
              <w:t>1351.57</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1351.57</w:t>
            </w:r>
          </w:p>
        </w:tc>
        <w:tc>
          <w:tcPr>
            <w:tcW w:w="1134" w:type="dxa"/>
            <w:vAlign w:val="center"/>
          </w:tcPr>
          <w:p>
            <w:pPr>
              <w:pStyle w:val="16"/>
            </w:pPr>
            <w:r>
              <w:t>1351.57</w:t>
            </w:r>
          </w:p>
        </w:tc>
        <w:tc>
          <w:tcPr>
            <w:tcW w:w="1134" w:type="dxa"/>
            <w:vAlign w:val="center"/>
          </w:tcPr>
          <w:p>
            <w:pPr>
              <w:pStyle w:val="16"/>
            </w:pPr>
            <w:r>
              <w:t>1351.57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1351.57</w:t>
            </w:r>
          </w:p>
        </w:tc>
        <w:tc>
          <w:tcPr>
            <w:tcW w:w="1134" w:type="dxa"/>
            <w:vAlign w:val="center"/>
          </w:tcPr>
          <w:p>
            <w:pPr>
              <w:pStyle w:val="16"/>
            </w:pPr>
            <w:r>
              <w:t>1351.57</w:t>
            </w:r>
          </w:p>
        </w:tc>
        <w:tc>
          <w:tcPr>
            <w:tcW w:w="1134" w:type="dxa"/>
            <w:vAlign w:val="center"/>
          </w:tcPr>
          <w:p>
            <w:pPr>
              <w:pStyle w:val="16"/>
            </w:pPr>
            <w:r>
              <w:t>1351.57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2050202</w:t>
            </w:r>
          </w:p>
        </w:tc>
        <w:tc>
          <w:tcPr>
            <w:tcW w:w="1559" w:type="dxa"/>
            <w:vAlign w:val="center"/>
          </w:tcPr>
          <w:p>
            <w:pPr>
              <w:pStyle w:val="17"/>
            </w:pPr>
            <w:r>
              <w:t>小学教育</w:t>
            </w:r>
          </w:p>
        </w:tc>
        <w:tc>
          <w:tcPr>
            <w:tcW w:w="1134" w:type="dxa"/>
            <w:vAlign w:val="center"/>
          </w:tcPr>
          <w:p>
            <w:pPr>
              <w:pStyle w:val="16"/>
            </w:pPr>
            <w:r>
              <w:t>1351.57</w:t>
            </w:r>
          </w:p>
        </w:tc>
        <w:tc>
          <w:tcPr>
            <w:tcW w:w="1134" w:type="dxa"/>
            <w:vAlign w:val="center"/>
          </w:tcPr>
          <w:p>
            <w:pPr>
              <w:pStyle w:val="16"/>
            </w:pPr>
            <w:r>
              <w:t>1351.57</w:t>
            </w:r>
          </w:p>
        </w:tc>
        <w:tc>
          <w:tcPr>
            <w:tcW w:w="1134" w:type="dxa"/>
            <w:vAlign w:val="center"/>
          </w:tcPr>
          <w:p>
            <w:pPr>
              <w:pStyle w:val="16"/>
            </w:pPr>
            <w:r>
              <w:t>1351.57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463廊坊市第二十三小学</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1351.57</w:t>
            </w:r>
          </w:p>
        </w:tc>
        <w:tc>
          <w:tcPr>
            <w:tcW w:w="1361" w:type="dxa"/>
            <w:vAlign w:val="center"/>
          </w:tcPr>
          <w:p>
            <w:pPr>
              <w:pStyle w:val="20"/>
            </w:pPr>
            <w:r>
              <w:t>1331.74</w:t>
            </w:r>
          </w:p>
        </w:tc>
        <w:tc>
          <w:tcPr>
            <w:tcW w:w="1361" w:type="dxa"/>
            <w:vAlign w:val="center"/>
          </w:tcPr>
          <w:p>
            <w:pPr>
              <w:pStyle w:val="20"/>
            </w:pPr>
            <w:r>
              <w:t>19.82</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1351.57</w:t>
            </w:r>
          </w:p>
        </w:tc>
        <w:tc>
          <w:tcPr>
            <w:tcW w:w="1361" w:type="dxa"/>
            <w:vAlign w:val="center"/>
          </w:tcPr>
          <w:p>
            <w:pPr>
              <w:pStyle w:val="16"/>
            </w:pPr>
            <w:r>
              <w:t>1331.74</w:t>
            </w:r>
          </w:p>
        </w:tc>
        <w:tc>
          <w:tcPr>
            <w:tcW w:w="1361" w:type="dxa"/>
            <w:vAlign w:val="center"/>
          </w:tcPr>
          <w:p>
            <w:pPr>
              <w:pStyle w:val="16"/>
            </w:pPr>
            <w:r>
              <w:t>19.82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1351.57</w:t>
            </w:r>
          </w:p>
        </w:tc>
        <w:tc>
          <w:tcPr>
            <w:tcW w:w="1361" w:type="dxa"/>
            <w:vAlign w:val="center"/>
          </w:tcPr>
          <w:p>
            <w:pPr>
              <w:pStyle w:val="16"/>
            </w:pPr>
            <w:r>
              <w:t>1331.74</w:t>
            </w:r>
          </w:p>
        </w:tc>
        <w:tc>
          <w:tcPr>
            <w:tcW w:w="1361" w:type="dxa"/>
            <w:vAlign w:val="center"/>
          </w:tcPr>
          <w:p>
            <w:pPr>
              <w:pStyle w:val="16"/>
            </w:pPr>
            <w:r>
              <w:t>19.82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2050202</w:t>
            </w:r>
          </w:p>
        </w:tc>
        <w:tc>
          <w:tcPr>
            <w:tcW w:w="4535" w:type="dxa"/>
            <w:vAlign w:val="center"/>
          </w:tcPr>
          <w:p>
            <w:pPr>
              <w:pStyle w:val="17"/>
            </w:pPr>
            <w:r>
              <w:t>小学教育</w:t>
            </w:r>
          </w:p>
        </w:tc>
        <w:tc>
          <w:tcPr>
            <w:tcW w:w="1361" w:type="dxa"/>
            <w:vAlign w:val="center"/>
          </w:tcPr>
          <w:p>
            <w:pPr>
              <w:pStyle w:val="16"/>
            </w:pPr>
            <w:r>
              <w:t>1351.57</w:t>
            </w:r>
          </w:p>
        </w:tc>
        <w:tc>
          <w:tcPr>
            <w:tcW w:w="1361" w:type="dxa"/>
            <w:vAlign w:val="center"/>
          </w:tcPr>
          <w:p>
            <w:pPr>
              <w:pStyle w:val="16"/>
            </w:pPr>
            <w:r>
              <w:t>1331.74</w:t>
            </w:r>
          </w:p>
        </w:tc>
        <w:tc>
          <w:tcPr>
            <w:tcW w:w="1361" w:type="dxa"/>
            <w:vAlign w:val="center"/>
          </w:tcPr>
          <w:p>
            <w:pPr>
              <w:pStyle w:val="16"/>
            </w:pPr>
            <w:r>
              <w:t>19.82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463廊坊市第二十三小学</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1351.57</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1351.57</w:t>
            </w:r>
          </w:p>
        </w:tc>
        <w:tc>
          <w:tcPr>
            <w:tcW w:w="1474" w:type="dxa"/>
            <w:vAlign w:val="center"/>
          </w:tcPr>
          <w:p>
            <w:pPr>
              <w:pStyle w:val="16"/>
            </w:pPr>
            <w:r>
              <w:t>1351.57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1351.57</w:t>
            </w:r>
          </w:p>
        </w:tc>
        <w:tc>
          <w:tcPr>
            <w:tcW w:w="3402" w:type="dxa"/>
            <w:vAlign w:val="center"/>
          </w:tcPr>
          <w:p>
            <w:pPr>
              <w:pStyle w:val="19"/>
            </w:pPr>
            <w:r>
              <w:t>本年支出合计</w:t>
            </w:r>
          </w:p>
        </w:tc>
        <w:tc>
          <w:tcPr>
            <w:tcW w:w="1474" w:type="dxa"/>
            <w:vAlign w:val="center"/>
          </w:tcPr>
          <w:p>
            <w:pPr>
              <w:pStyle w:val="20"/>
            </w:pPr>
            <w:r>
              <w:t>1351.57</w:t>
            </w:r>
          </w:p>
        </w:tc>
        <w:tc>
          <w:tcPr>
            <w:tcW w:w="1474" w:type="dxa"/>
            <w:vAlign w:val="center"/>
          </w:tcPr>
          <w:p>
            <w:pPr>
              <w:pStyle w:val="20"/>
            </w:pPr>
            <w:r>
              <w:t>1351.57</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1351.57</w:t>
            </w:r>
          </w:p>
        </w:tc>
        <w:tc>
          <w:tcPr>
            <w:tcW w:w="3402" w:type="dxa"/>
            <w:vAlign w:val="center"/>
          </w:tcPr>
          <w:p>
            <w:pPr>
              <w:pStyle w:val="19"/>
            </w:pPr>
            <w:r>
              <w:t>支出总计</w:t>
            </w:r>
          </w:p>
        </w:tc>
        <w:tc>
          <w:tcPr>
            <w:tcW w:w="1474" w:type="dxa"/>
            <w:vAlign w:val="center"/>
          </w:tcPr>
          <w:p>
            <w:pPr>
              <w:pStyle w:val="20"/>
            </w:pPr>
            <w:r>
              <w:t>1351.57</w:t>
            </w:r>
          </w:p>
        </w:tc>
        <w:tc>
          <w:tcPr>
            <w:tcW w:w="1474" w:type="dxa"/>
            <w:vAlign w:val="center"/>
          </w:tcPr>
          <w:p>
            <w:pPr>
              <w:pStyle w:val="20"/>
            </w:pPr>
            <w:r>
              <w:t>1351.57</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463廊坊市第二十三小学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1351.57</w:t>
            </w:r>
          </w:p>
        </w:tc>
        <w:tc>
          <w:tcPr>
            <w:tcW w:w="2551" w:type="dxa"/>
            <w:vAlign w:val="center"/>
          </w:tcPr>
          <w:p>
            <w:pPr>
              <w:pStyle w:val="20"/>
            </w:pPr>
            <w:r>
              <w:t>1331.74</w:t>
            </w:r>
          </w:p>
        </w:tc>
        <w:tc>
          <w:tcPr>
            <w:tcW w:w="2551" w:type="dxa"/>
            <w:vAlign w:val="center"/>
          </w:tcPr>
          <w:p>
            <w:pPr>
              <w:pStyle w:val="20"/>
            </w:pPr>
            <w:r>
              <w:t>19.82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1351.57</w:t>
            </w:r>
          </w:p>
        </w:tc>
        <w:tc>
          <w:tcPr>
            <w:tcW w:w="2551" w:type="dxa"/>
            <w:vAlign w:val="center"/>
          </w:tcPr>
          <w:p>
            <w:pPr>
              <w:pStyle w:val="16"/>
            </w:pPr>
            <w:r>
              <w:t>1331.74</w:t>
            </w:r>
          </w:p>
        </w:tc>
        <w:tc>
          <w:tcPr>
            <w:tcW w:w="2551" w:type="dxa"/>
            <w:vAlign w:val="center"/>
          </w:tcPr>
          <w:p>
            <w:pPr>
              <w:pStyle w:val="16"/>
            </w:pPr>
            <w:r>
              <w:t>19.82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1351.57</w:t>
            </w:r>
          </w:p>
        </w:tc>
        <w:tc>
          <w:tcPr>
            <w:tcW w:w="2551" w:type="dxa"/>
            <w:vAlign w:val="center"/>
          </w:tcPr>
          <w:p>
            <w:pPr>
              <w:pStyle w:val="16"/>
            </w:pPr>
            <w:r>
              <w:t>1331.74</w:t>
            </w:r>
          </w:p>
        </w:tc>
        <w:tc>
          <w:tcPr>
            <w:tcW w:w="2551" w:type="dxa"/>
            <w:vAlign w:val="center"/>
          </w:tcPr>
          <w:p>
            <w:pPr>
              <w:pStyle w:val="16"/>
            </w:pPr>
            <w:r>
              <w:t>19.82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2050202</w:t>
            </w:r>
          </w:p>
        </w:tc>
        <w:tc>
          <w:tcPr>
            <w:tcW w:w="4535" w:type="dxa"/>
            <w:vAlign w:val="center"/>
          </w:tcPr>
          <w:p>
            <w:pPr>
              <w:pStyle w:val="17"/>
            </w:pPr>
            <w:r>
              <w:t>小学教育</w:t>
            </w:r>
          </w:p>
        </w:tc>
        <w:tc>
          <w:tcPr>
            <w:tcW w:w="2551" w:type="dxa"/>
            <w:vAlign w:val="center"/>
          </w:tcPr>
          <w:p>
            <w:pPr>
              <w:pStyle w:val="16"/>
            </w:pPr>
            <w:r>
              <w:t>1351.57</w:t>
            </w:r>
          </w:p>
        </w:tc>
        <w:tc>
          <w:tcPr>
            <w:tcW w:w="2551" w:type="dxa"/>
            <w:vAlign w:val="center"/>
          </w:tcPr>
          <w:p>
            <w:pPr>
              <w:pStyle w:val="16"/>
            </w:pPr>
            <w:r>
              <w:t>1331.74</w:t>
            </w:r>
          </w:p>
        </w:tc>
        <w:tc>
          <w:tcPr>
            <w:tcW w:w="2551" w:type="dxa"/>
            <w:vAlign w:val="center"/>
          </w:tcPr>
          <w:p>
            <w:pPr>
              <w:pStyle w:val="16"/>
            </w:pPr>
            <w:r>
              <w:t>19.82</w:t>
            </w: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463廊坊市第二十三小学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1331.74</w:t>
            </w:r>
          </w:p>
        </w:tc>
        <w:tc>
          <w:tcPr>
            <w:tcW w:w="2551" w:type="dxa"/>
            <w:vAlign w:val="center"/>
          </w:tcPr>
          <w:p>
            <w:pPr>
              <w:pStyle w:val="20"/>
            </w:pPr>
            <w:r>
              <w:t>1330.11</w:t>
            </w:r>
          </w:p>
        </w:tc>
        <w:tc>
          <w:tcPr>
            <w:tcW w:w="2551" w:type="dxa"/>
            <w:vAlign w:val="center"/>
          </w:tcPr>
          <w:p>
            <w:pPr>
              <w:pStyle w:val="20"/>
            </w:pPr>
            <w:r>
              <w:t>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1330.09</w:t>
            </w:r>
          </w:p>
        </w:tc>
        <w:tc>
          <w:tcPr>
            <w:tcW w:w="2551" w:type="dxa"/>
            <w:vAlign w:val="center"/>
          </w:tcPr>
          <w:p>
            <w:pPr>
              <w:pStyle w:val="16"/>
            </w:pPr>
            <w:r>
              <w:t>1330.09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343.27</w:t>
            </w:r>
          </w:p>
        </w:tc>
        <w:tc>
          <w:tcPr>
            <w:tcW w:w="2551" w:type="dxa"/>
            <w:vAlign w:val="center"/>
          </w:tcPr>
          <w:p>
            <w:pPr>
              <w:pStyle w:val="16"/>
            </w:pPr>
            <w:r>
              <w:t>343.27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137.29</w:t>
            </w:r>
          </w:p>
        </w:tc>
        <w:tc>
          <w:tcPr>
            <w:tcW w:w="2551" w:type="dxa"/>
            <w:vAlign w:val="center"/>
          </w:tcPr>
          <w:p>
            <w:pPr>
              <w:pStyle w:val="16"/>
            </w:pPr>
            <w:r>
              <w:t>137.29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257.16</w:t>
            </w:r>
          </w:p>
        </w:tc>
        <w:tc>
          <w:tcPr>
            <w:tcW w:w="2551" w:type="dxa"/>
            <w:vAlign w:val="center"/>
          </w:tcPr>
          <w:p>
            <w:pPr>
              <w:pStyle w:val="16"/>
            </w:pPr>
            <w:r>
              <w:t>257.16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310.20</w:t>
            </w:r>
          </w:p>
        </w:tc>
        <w:tc>
          <w:tcPr>
            <w:tcW w:w="2551" w:type="dxa"/>
            <w:vAlign w:val="center"/>
          </w:tcPr>
          <w:p>
            <w:pPr>
              <w:pStyle w:val="16"/>
            </w:pPr>
            <w:r>
              <w:t>310.20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125.41</w:t>
            </w:r>
          </w:p>
        </w:tc>
        <w:tc>
          <w:tcPr>
            <w:tcW w:w="2551" w:type="dxa"/>
            <w:vAlign w:val="center"/>
          </w:tcPr>
          <w:p>
            <w:pPr>
              <w:pStyle w:val="16"/>
            </w:pPr>
            <w:r>
              <w:t>125.41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43.54</w:t>
            </w:r>
          </w:p>
        </w:tc>
        <w:tc>
          <w:tcPr>
            <w:tcW w:w="2551" w:type="dxa"/>
            <w:vAlign w:val="center"/>
          </w:tcPr>
          <w:p>
            <w:pPr>
              <w:pStyle w:val="16"/>
            </w:pPr>
            <w:r>
              <w:t>43.54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4.91</w:t>
            </w:r>
          </w:p>
        </w:tc>
        <w:tc>
          <w:tcPr>
            <w:tcW w:w="2551" w:type="dxa"/>
            <w:vAlign w:val="center"/>
          </w:tcPr>
          <w:p>
            <w:pPr>
              <w:pStyle w:val="16"/>
            </w:pPr>
            <w:r>
              <w:t>4.91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105.13</w:t>
            </w:r>
          </w:p>
        </w:tc>
        <w:tc>
          <w:tcPr>
            <w:tcW w:w="2551" w:type="dxa"/>
            <w:vAlign w:val="center"/>
          </w:tcPr>
          <w:p>
            <w:pPr>
              <w:pStyle w:val="16"/>
            </w:pPr>
            <w:r>
              <w:t>105.13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3.17</w:t>
            </w:r>
          </w:p>
        </w:tc>
        <w:tc>
          <w:tcPr>
            <w:tcW w:w="2551" w:type="dxa"/>
            <w:vAlign w:val="center"/>
          </w:tcPr>
          <w:p>
            <w:pPr>
              <w:pStyle w:val="16"/>
            </w:pPr>
            <w:r>
              <w:t>3.17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1.63</w:t>
            </w:r>
          </w:p>
        </w:tc>
        <w:tc>
          <w:tcPr>
            <w:tcW w:w="2551" w:type="dxa"/>
            <w:vAlign w:val="center"/>
          </w:tcPr>
          <w:p>
            <w:pPr>
              <w:pStyle w:val="16"/>
            </w:pPr>
          </w:p>
        </w:tc>
        <w:tc>
          <w:tcPr>
            <w:tcW w:w="2551" w:type="dxa"/>
            <w:vAlign w:val="center"/>
          </w:tcPr>
          <w:p>
            <w:pPr>
              <w:pStyle w:val="16"/>
            </w:pPr>
            <w:r>
              <w:t>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0.88</w:t>
            </w:r>
          </w:p>
        </w:tc>
        <w:tc>
          <w:tcPr>
            <w:tcW w:w="2551" w:type="dxa"/>
            <w:vAlign w:val="center"/>
          </w:tcPr>
          <w:p>
            <w:pPr>
              <w:pStyle w:val="16"/>
            </w:pPr>
          </w:p>
        </w:tc>
        <w:tc>
          <w:tcPr>
            <w:tcW w:w="2551" w:type="dxa"/>
            <w:vAlign w:val="center"/>
          </w:tcPr>
          <w:p>
            <w:pPr>
              <w:pStyle w:val="16"/>
            </w:pPr>
            <w: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0.75</w:t>
            </w:r>
          </w:p>
        </w:tc>
        <w:tc>
          <w:tcPr>
            <w:tcW w:w="2551" w:type="dxa"/>
            <w:vAlign w:val="center"/>
          </w:tcPr>
          <w:p>
            <w:pPr>
              <w:pStyle w:val="16"/>
            </w:pPr>
          </w:p>
        </w:tc>
        <w:tc>
          <w:tcPr>
            <w:tcW w:w="2551" w:type="dxa"/>
            <w:vAlign w:val="center"/>
          </w:tcPr>
          <w:p>
            <w:pPr>
              <w:pStyle w:val="16"/>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0.02</w:t>
            </w:r>
          </w:p>
        </w:tc>
        <w:tc>
          <w:tcPr>
            <w:tcW w:w="2551" w:type="dxa"/>
            <w:vAlign w:val="center"/>
          </w:tcPr>
          <w:p>
            <w:pPr>
              <w:pStyle w:val="16"/>
            </w:pPr>
            <w:r>
              <w:t>0.02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0.02</w:t>
            </w:r>
          </w:p>
        </w:tc>
        <w:tc>
          <w:tcPr>
            <w:tcW w:w="2551" w:type="dxa"/>
            <w:vAlign w:val="center"/>
          </w:tcPr>
          <w:p>
            <w:pPr>
              <w:pStyle w:val="16"/>
            </w:pPr>
            <w:r>
              <w:t>0.02</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463廊坊市第二十三小学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463廊坊市第二十三小学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463廊坊市第二十三小学</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廊坊市第二十三小学2023年部门预算信息公开情况说明</w:t>
      </w:r>
    </w:p>
    <w:p>
      <w:pPr>
        <w:jc w:val="center"/>
      </w:pPr>
      <w:bookmarkStart w:id="36" w:name="_GoBack"/>
      <w:r>
        <w:rPr>
          <w:rFonts w:ascii="方正小标宋_GBK" w:hAnsi="方正小标宋_GBK" w:eastAsia="方正小标宋_GBK" w:cs="方正小标宋_GBK"/>
          <w:color w:val="000000"/>
          <w:sz w:val="44"/>
        </w:rPr>
        <w:t>廊坊市第二十三小学2023年部门预算信息公开</w:t>
      </w:r>
      <w:bookmarkEnd w:id="36"/>
      <w:r>
        <w:rPr>
          <w:rFonts w:ascii="方正小标宋_GBK" w:hAnsi="方正小标宋_GBK" w:eastAsia="方正小标宋_GBK" w:cs="方正小标宋_GBK"/>
          <w:color w:val="000000"/>
          <w:sz w:val="44"/>
        </w:rPr>
        <w:t>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预算法》、《地方预决算公开操作规程》和《关于进一步推进预算公开工作的实施意见》规定，现将廊坊市第二十三小学2023年部门预算公开如下：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p>
    <w:p>
      <w:pPr>
        <w:pStyle w:val="22"/>
      </w:pPr>
      <w:r>
        <w:t>（一）贯彻执行党和国家的教育方针、政策、法律法规，制</w:t>
      </w:r>
      <w:r>
        <w:rPr>
          <w:rFonts w:hint="eastAsia"/>
          <w:lang w:eastAsia="zh-CN"/>
        </w:rPr>
        <w:t>订</w:t>
      </w:r>
      <w:r>
        <w:t>我校的长远规划和年度计划，并组织实施。</w:t>
      </w:r>
    </w:p>
    <w:p>
      <w:pPr>
        <w:pStyle w:val="22"/>
      </w:pPr>
      <w:r>
        <w:t>（二）负责教育基本信息的统计、分析。</w:t>
      </w:r>
    </w:p>
    <w:p>
      <w:pPr>
        <w:pStyle w:val="22"/>
      </w:pPr>
      <w:r>
        <w:t>（三）负责基础教育的管理。推进义务教育均衡发展和促进教育公平，全面实施素质教育。</w:t>
      </w:r>
    </w:p>
    <w:p>
      <w:pPr>
        <w:pStyle w:val="22"/>
      </w:pPr>
      <w:r>
        <w:t>（四）负责学校教师队伍的建设和管理，提高教师队伍素质。</w:t>
      </w:r>
    </w:p>
    <w:p>
      <w:pPr>
        <w:pStyle w:val="22"/>
      </w:pPr>
      <w:r>
        <w:t>（五）负责本部门教育经费的统筹管理，教育经费预决算工作，教育经费的管理和使用；统筹规划和管理学校基本建设和设施的配置及计划统计工作。</w:t>
      </w:r>
    </w:p>
    <w:p>
      <w:pPr>
        <w:pStyle w:val="22"/>
      </w:pPr>
      <w:r>
        <w:t>（六）管理学校的党建、思想政治、宣传统战和维护稳定以及德育、体育、卫生防疫与艺术教育、国防教育工作；负责学校的安全监督管理。</w:t>
      </w:r>
    </w:p>
    <w:p>
      <w:pPr>
        <w:pStyle w:val="22"/>
      </w:pPr>
      <w:r>
        <w:t>（七）负责做好学校的招生、考试工作；负责管理本校教师学历教育及考试工作。</w:t>
      </w:r>
    </w:p>
    <w:p>
      <w:pPr>
        <w:pStyle w:val="22"/>
      </w:pPr>
      <w:r>
        <w:t>（八）负责组织开展学校教育的督导评估、检查验收、质量监测等工作。</w:t>
      </w:r>
    </w:p>
    <w:p>
      <w:pPr>
        <w:pStyle w:val="22"/>
      </w:pPr>
      <w:r>
        <w:t>（九）负责学校党的政治建设、思想建设、组织建设、作风建设、纪律建设和制度建设。</w:t>
      </w:r>
    </w:p>
    <w:p>
      <w:pPr>
        <w:pStyle w:val="22"/>
      </w:pPr>
      <w:r>
        <w:t>（十）负责学校学生和教师的思想政治工作，学校思想政治队伍建设和学校校本课程教育教学。</w:t>
      </w:r>
    </w:p>
    <w:p>
      <w:pPr>
        <w:pStyle w:val="22"/>
      </w:pPr>
      <w:r>
        <w:t>（十一）负责学校安全稳定工作。</w:t>
      </w:r>
    </w:p>
    <w:p>
      <w:pPr>
        <w:pStyle w:val="22"/>
      </w:pPr>
      <w:r>
        <w:t>（十二）做好本校体育事业发展规划、全民健身计划，开展群众性体育活动。</w:t>
      </w:r>
    </w:p>
    <w:p>
      <w:pPr>
        <w:pStyle w:val="22"/>
      </w:pPr>
      <w:r>
        <w:t>（十三）做好上级部门交办的其他事项。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廊坊市第二十三小学</w:t>
            </w:r>
          </w:p>
        </w:tc>
        <w:tc>
          <w:tcPr>
            <w:tcW w:w="1843" w:type="dxa"/>
            <w:vAlign w:val="center"/>
          </w:tcPr>
          <w:p>
            <w:pPr>
              <w:pStyle w:val="18"/>
            </w:pPr>
            <w:r>
              <w:t>事业</w:t>
            </w:r>
          </w:p>
        </w:tc>
        <w:tc>
          <w:tcPr>
            <w:tcW w:w="2126" w:type="dxa"/>
            <w:vAlign w:val="center"/>
          </w:tcPr>
          <w:p>
            <w:pPr>
              <w:pStyle w:val="18"/>
            </w:pPr>
            <w:r>
              <w:t>副科级</w:t>
            </w:r>
          </w:p>
        </w:tc>
        <w:tc>
          <w:tcPr>
            <w:tcW w:w="3827" w:type="dxa"/>
            <w:vAlign w:val="center"/>
          </w:tcPr>
          <w:p>
            <w:pPr>
              <w:pStyle w:val="18"/>
            </w:pPr>
            <w:r>
              <w:t>财政性资金基本保证</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按照预算管理有关规定，目前我区部门预算的编制实行综合预算管理，即全部收入和支出都反映在预算中。廊坊市第二十三小学机关及所属事业单位的收支包含在部门预算中。</w:t>
      </w:r>
    </w:p>
    <w:p>
      <w:pPr>
        <w:pStyle w:val="23"/>
      </w:pPr>
      <w:r>
        <w:t>1、收入说明</w:t>
      </w:r>
    </w:p>
    <w:p>
      <w:pPr>
        <w:pStyle w:val="23"/>
      </w:pPr>
      <w:r>
        <w:t>反映本单位当年全部收入。2023年预算收入1351.57万元，其中：一般公共预算收入1351.57万元，基金预算收入0万元，财政专户核拨收入0万元，其他来源收入0万元，上年结转0万元。</w:t>
      </w:r>
    </w:p>
    <w:p>
      <w:pPr>
        <w:pStyle w:val="23"/>
      </w:pPr>
      <w:r>
        <w:t>2、支出说明</w:t>
      </w:r>
    </w:p>
    <w:p>
      <w:pPr>
        <w:pStyle w:val="23"/>
      </w:pPr>
      <w:r>
        <w:t>收支预算总表支出栏、基本支出表、项目支出表按经济分类和支出功能分类科目编制，反映廊坊市第二十三小学2023年度单位预算中支出预算的总体情况。2023年支出预算1351.57万元，其中：基本支出1331.724元，包括人员经费1330.11万元和日常公用经费1.63万元；项目支出19.82万元，全部为本级支出，主要为日常维修等项目。</w:t>
      </w:r>
    </w:p>
    <w:p>
      <w:pPr>
        <w:pStyle w:val="23"/>
      </w:pPr>
      <w:r>
        <w:t>3、比上年增减情况</w:t>
      </w:r>
    </w:p>
    <w:p>
      <w:pPr>
        <w:pStyle w:val="23"/>
      </w:pPr>
      <w:r>
        <w:t>2023年预算收支安排1351.57万元，较2022年预算增加189.98万元，其中：基本支出增加1331.74万元，增加原因主要为人员经费支出增加；项目支出减少1141.77万元，减少原因主要为城乡义务教育生均公用中央、省级、市级经费调整为追加预算和合同制教师经费转为基本支出。</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2023年，我单位运行经费共计安排1.63万元，主要用于办公区的日常维修、办公费用、办公用房水电费、办公用房取暖费、邮电费、差旅费、办公用房物业管理费、公务用车运行维护费等日常运行支出。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单位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提高义务教育公用经费保障水平，继续完善教育基础设施，推进学校建设，加快提升装备水平，改善办学条件。打造一流教师队伍，补充师资力量，提高专业素质，完善考核机制；优化教育教学管理；消除大班额问题；建立中小学校舍安全保障机制，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spacing w:line="500" w:lineRule="exact"/>
        <w:ind w:firstLine="560"/>
      </w:pPr>
      <w:r>
        <w:rPr>
          <w:rFonts w:eastAsia="方正仿宋_GBK"/>
          <w:color w:val="000000"/>
          <w:sz w:val="28"/>
        </w:rPr>
        <w:t>（二）分项绩效目标</w:t>
      </w:r>
    </w:p>
    <w:p>
      <w:pPr>
        <w:pStyle w:val="27"/>
      </w:pPr>
      <w:r>
        <w:t>1、教育教学绩效</w:t>
      </w:r>
    </w:p>
    <w:p>
      <w:pPr>
        <w:pStyle w:val="27"/>
      </w:pPr>
      <w:r>
        <w:t>绩效目标：按质按量完成教育教学方面的各项任务，稳步提升学校的教育教学质量。深化教育教学改革创新，推行义务教育质量检测。</w:t>
      </w:r>
    </w:p>
    <w:p>
      <w:pPr>
        <w:pStyle w:val="27"/>
      </w:pPr>
      <w:r>
        <w:t>绩效指标：按质按量完成教育教学方面的各项任务，稳步提升学校的教育教学质量,提升教师教学及备课质量，提高学生综合素质。学生综合素质评价优秀率达到85%,合格率达到100%。</w:t>
      </w:r>
    </w:p>
    <w:p>
      <w:pPr>
        <w:pStyle w:val="27"/>
      </w:pPr>
      <w:r>
        <w:t>2、培养高素质的教师队伍</w:t>
      </w:r>
    </w:p>
    <w:p>
      <w:pPr>
        <w:pStyle w:val="27"/>
      </w:pPr>
      <w:r>
        <w:t>绩效目标：提高教师培训质量，提升教师业务能力和水平，不断提高教学质量。</w:t>
      </w:r>
    </w:p>
    <w:p>
      <w:pPr>
        <w:pStyle w:val="27"/>
      </w:pPr>
      <w:r>
        <w:t>绩效指标：及时组织教师参加培训；教师培训合格率达到100%。</w:t>
      </w:r>
    </w:p>
    <w:p>
      <w:pPr>
        <w:pStyle w:val="27"/>
      </w:pPr>
      <w:r>
        <w:t>3、加强学校安全工作</w:t>
      </w:r>
    </w:p>
    <w:p>
      <w:pPr>
        <w:pStyle w:val="27"/>
      </w:pPr>
      <w:r>
        <w:t>绩效目标：提升学校基础设施设备的整体水平。加强学校基础设施设备的维护,确保校园安全,落实校园防火及其他安全隐患的预防工作。确保校园各设施设备的正常运行。防范化解学校安全风险，排查整改安全隐患，提高学生安全防范意识。</w:t>
      </w:r>
    </w:p>
    <w:p>
      <w:pPr>
        <w:pStyle w:val="27"/>
      </w:pPr>
      <w:r>
        <w:t>绩效指标：通过项目的开展，提升学校安防级别；完成校园安全建设百分率达到90%以上。师生对项目的满意度达到95%。</w:t>
      </w:r>
    </w:p>
    <w:p>
      <w:pPr>
        <w:pStyle w:val="27"/>
      </w:pPr>
      <w:r>
        <w:t>4、办满意的学校</w:t>
      </w:r>
    </w:p>
    <w:p>
      <w:pPr>
        <w:pStyle w:val="27"/>
      </w:pPr>
      <w:r>
        <w:t>绩效目标：不断改善办学条件，提升学校基础设施设备的整体水平，不断提高教育质量。</w:t>
      </w:r>
    </w:p>
    <w:p>
      <w:pPr>
        <w:pStyle w:val="27"/>
      </w:pPr>
      <w:r>
        <w:t>绩效指标：教师、学生、家长整体满意度达到90%以上。</w:t>
      </w:r>
    </w:p>
    <w:p>
      <w:pPr>
        <w:pStyle w:val="27"/>
      </w:pPr>
    </w:p>
    <w:p>
      <w:pPr>
        <w:spacing w:line="500" w:lineRule="exact"/>
        <w:ind w:firstLine="560"/>
      </w:pPr>
      <w:r>
        <w:rPr>
          <w:rFonts w:eastAsia="方正仿宋_GBK"/>
          <w:color w:val="000000"/>
          <w:sz w:val="28"/>
        </w:rPr>
        <w:t>（三）工作保障措施</w:t>
      </w:r>
    </w:p>
    <w:p>
      <w:pPr>
        <w:pStyle w:val="28"/>
      </w:pPr>
      <w:r>
        <w:t>1、成立学校监督小组，监督学校工作，强化工作落实。</w:t>
      </w:r>
    </w:p>
    <w:p>
      <w:pPr>
        <w:pStyle w:val="28"/>
      </w:pPr>
      <w: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8"/>
      </w:pPr>
      <w: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8"/>
      </w:pPr>
      <w:r>
        <w:t>4、学校体育、卫生工作。按照《学校体育工作条例》和《关于强化学校体育促进学生身心健康全面发展的意见》“定期举办综合性学生运动会，开展学校体育竞赛活动”的要求，发展特色体育项目，积极参加省、市、区举办中小学竞赛项目；根据《关于加快推进全国青少年冰雪运动进校园的指导意见》要求，通过举办冰雪运动会、冰雪知识竞赛等活动方式，加快发展我区青少年冰雪运动，提升青少年学生体质健康水平；根据《中小学生健康体检管理办法》要求，对在校学生每年进行1次常规健康体检。</w:t>
      </w:r>
    </w:p>
    <w:p>
      <w:pPr>
        <w:pStyle w:val="28"/>
      </w:pPr>
      <w:r>
        <w:t>5、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pStyle w:val="28"/>
      </w:pPr>
      <w:r>
        <w:t>6、加强政治理论学习，强化党风廉政建设。做好师德传承活动，落实老中青传帮带。弘扬办学精神。加强师德宣传与学习活动。开展形式多样、扎实有效的师德教育活动。</w:t>
      </w:r>
    </w:p>
    <w:p>
      <w:pPr>
        <w:pStyle w:val="28"/>
      </w:pPr>
      <w:r>
        <w:t>逐步制订、完善相关制度，规范教师师德。加强校本培训和继续教育工作，提升教师能力。落实教师评价工作，完善考核机制。搭建教师发展平台。</w:t>
      </w:r>
    </w:p>
    <w:p>
      <w:pPr>
        <w:pStyle w:val="28"/>
      </w:pP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3"/>
        <w:gridCol w:w="740"/>
        <w:gridCol w:w="1843"/>
        <w:gridCol w:w="3118"/>
        <w:gridCol w:w="4536"/>
        <w:gridCol w:w="709"/>
        <w:gridCol w:w="425"/>
        <w:gridCol w:w="1701"/>
        <w:gridCol w:w="10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693"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740"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1843"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3118"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4536"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2835"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1065"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693" w:type="dxa"/>
            <w:vMerge w:val="continue"/>
            <w:shd w:val="clear" w:color="auto" w:fill="auto"/>
            <w:vAlign w:val="center"/>
          </w:tcPr>
          <w:p>
            <w:pPr>
              <w:rPr>
                <w:rFonts w:ascii="方正书宋_GBK" w:hAnsi="宋体" w:eastAsia="方正书宋_GBK" w:cs="宋体"/>
                <w:b/>
                <w:bCs/>
                <w:color w:val="000000"/>
              </w:rPr>
            </w:pPr>
          </w:p>
        </w:tc>
        <w:tc>
          <w:tcPr>
            <w:tcW w:w="740"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1843"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3118"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4536"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425"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1701"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1065"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58" w:hRule="atLeast"/>
          <w:jc w:val="center"/>
        </w:trPr>
        <w:tc>
          <w:tcPr>
            <w:tcW w:w="693" w:type="dxa"/>
            <w:vMerge w:val="restart"/>
            <w:shd w:val="clear" w:color="auto" w:fill="auto"/>
            <w:noWrap/>
            <w:tcMar>
              <w:top w:w="15" w:type="dxa"/>
              <w:left w:w="15" w:type="dxa"/>
              <w:bottom w:w="0" w:type="dxa"/>
              <w:right w:w="15" w:type="dxa"/>
            </w:tcMar>
            <w:vAlign w:val="center"/>
          </w:tcPr>
          <w:p>
            <w:pPr>
              <w:jc w:val="center"/>
              <w:rPr>
                <w:rFonts w:ascii="仿宋" w:hAnsi="仿宋" w:eastAsia="仿宋"/>
                <w:color w:val="000000"/>
              </w:rPr>
            </w:pPr>
            <w:r>
              <w:rPr>
                <w:rFonts w:hint="eastAsia" w:ascii="仿宋" w:hAnsi="仿宋" w:eastAsia="仿宋"/>
                <w:color w:val="000000"/>
              </w:rPr>
              <w:t>部门产出</w:t>
            </w:r>
          </w:p>
        </w:tc>
        <w:tc>
          <w:tcPr>
            <w:tcW w:w="740" w:type="dxa"/>
            <w:shd w:val="clear" w:color="auto" w:fill="auto"/>
            <w:noWrap/>
            <w:tcMar>
              <w:top w:w="15" w:type="dxa"/>
              <w:left w:w="15" w:type="dxa"/>
              <w:bottom w:w="0" w:type="dxa"/>
              <w:right w:w="15" w:type="dxa"/>
            </w:tcMar>
            <w:vAlign w:val="center"/>
          </w:tcPr>
          <w:p>
            <w:pPr>
              <w:jc w:val="both"/>
              <w:rPr>
                <w:rFonts w:ascii="仿宋" w:hAnsi="仿宋" w:eastAsia="仿宋"/>
                <w:color w:val="000000"/>
              </w:rPr>
            </w:pPr>
            <w:r>
              <w:rPr>
                <w:rFonts w:hint="eastAsia" w:ascii="仿宋" w:hAnsi="仿宋" w:eastAsia="仿宋"/>
                <w:color w:val="000000"/>
              </w:rPr>
              <w:t>数量</w:t>
            </w:r>
          </w:p>
          <w:p>
            <w:pPr>
              <w:jc w:val="both"/>
              <w:rPr>
                <w:rFonts w:ascii="仿宋" w:hAnsi="仿宋" w:eastAsia="仿宋"/>
                <w:color w:val="000000"/>
              </w:rPr>
            </w:pPr>
            <w:r>
              <w:rPr>
                <w:rFonts w:hint="eastAsia" w:ascii="仿宋" w:hAnsi="仿宋" w:eastAsia="仿宋"/>
                <w:color w:val="000000"/>
              </w:rPr>
              <w:t>指标</w:t>
            </w:r>
          </w:p>
        </w:tc>
        <w:tc>
          <w:tcPr>
            <w:tcW w:w="1843"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小学生毕业生合格率</w:t>
            </w:r>
          </w:p>
        </w:tc>
        <w:tc>
          <w:tcPr>
            <w:tcW w:w="3118"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小学生毕业生合格率</w:t>
            </w:r>
          </w:p>
        </w:tc>
        <w:tc>
          <w:tcPr>
            <w:tcW w:w="4536"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20分毕业生合格率100%得满分，否则不得分</w:t>
            </w:r>
          </w:p>
        </w:tc>
        <w:tc>
          <w:tcPr>
            <w:tcW w:w="709"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w:t>
            </w:r>
          </w:p>
        </w:tc>
        <w:tc>
          <w:tcPr>
            <w:tcW w:w="425"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100</w:t>
            </w:r>
          </w:p>
        </w:tc>
        <w:tc>
          <w:tcPr>
            <w:tcW w:w="1701"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w:t>
            </w:r>
          </w:p>
        </w:tc>
        <w:tc>
          <w:tcPr>
            <w:tcW w:w="1065"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岗位</w:t>
            </w:r>
          </w:p>
          <w:p>
            <w:pPr>
              <w:jc w:val="both"/>
              <w:rPr>
                <w:rFonts w:ascii="仿宋" w:hAnsi="仿宋" w:eastAsia="仿宋"/>
                <w:color w:val="000000"/>
              </w:rPr>
            </w:pPr>
            <w:r>
              <w:rPr>
                <w:rFonts w:hint="eastAsia" w:ascii="仿宋" w:hAnsi="仿宋" w:eastAsia="仿宋"/>
                <w:color w:val="000000"/>
              </w:rPr>
              <w:t>职责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58" w:hRule="atLeast"/>
          <w:jc w:val="center"/>
        </w:trPr>
        <w:tc>
          <w:tcPr>
            <w:tcW w:w="693" w:type="dxa"/>
            <w:vMerge w:val="continue"/>
            <w:shd w:val="clear" w:color="auto" w:fill="auto"/>
            <w:vAlign w:val="center"/>
          </w:tcPr>
          <w:p>
            <w:pPr>
              <w:rPr>
                <w:rFonts w:ascii="仿宋" w:hAnsi="仿宋" w:eastAsia="仿宋" w:cs="宋体"/>
                <w:color w:val="000000"/>
              </w:rPr>
            </w:pPr>
          </w:p>
        </w:tc>
        <w:tc>
          <w:tcPr>
            <w:tcW w:w="740" w:type="dxa"/>
            <w:shd w:val="clear" w:color="auto" w:fill="auto"/>
            <w:noWrap/>
            <w:tcMar>
              <w:top w:w="15" w:type="dxa"/>
              <w:left w:w="15" w:type="dxa"/>
              <w:bottom w:w="0" w:type="dxa"/>
              <w:right w:w="15" w:type="dxa"/>
            </w:tcMar>
            <w:vAlign w:val="center"/>
          </w:tcPr>
          <w:p>
            <w:pPr>
              <w:jc w:val="both"/>
              <w:rPr>
                <w:rFonts w:ascii="仿宋" w:hAnsi="仿宋" w:eastAsia="仿宋"/>
                <w:color w:val="000000"/>
              </w:rPr>
            </w:pPr>
            <w:r>
              <w:rPr>
                <w:rFonts w:hint="eastAsia" w:ascii="仿宋" w:hAnsi="仿宋" w:eastAsia="仿宋"/>
                <w:color w:val="000000"/>
              </w:rPr>
              <w:t>数量</w:t>
            </w:r>
          </w:p>
          <w:p>
            <w:pPr>
              <w:jc w:val="both"/>
              <w:rPr>
                <w:rFonts w:ascii="仿宋" w:hAnsi="仿宋" w:eastAsia="仿宋"/>
                <w:color w:val="000000"/>
              </w:rPr>
            </w:pPr>
            <w:r>
              <w:rPr>
                <w:rFonts w:hint="eastAsia" w:ascii="仿宋" w:hAnsi="仿宋" w:eastAsia="仿宋"/>
                <w:color w:val="000000"/>
              </w:rPr>
              <w:t>指标</w:t>
            </w:r>
          </w:p>
        </w:tc>
        <w:tc>
          <w:tcPr>
            <w:tcW w:w="1843"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重点工作实际完成率</w:t>
            </w:r>
          </w:p>
        </w:tc>
        <w:tc>
          <w:tcPr>
            <w:tcW w:w="3118"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重点工作实际完成率</w:t>
            </w:r>
          </w:p>
        </w:tc>
        <w:tc>
          <w:tcPr>
            <w:tcW w:w="4536"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10分不低于95%得满分，否则不得分5每减少1%扣1分，扣完为止</w:t>
            </w:r>
          </w:p>
        </w:tc>
        <w:tc>
          <w:tcPr>
            <w:tcW w:w="709"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w:t>
            </w:r>
          </w:p>
        </w:tc>
        <w:tc>
          <w:tcPr>
            <w:tcW w:w="425"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95</w:t>
            </w:r>
          </w:p>
        </w:tc>
        <w:tc>
          <w:tcPr>
            <w:tcW w:w="1701"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w:t>
            </w:r>
          </w:p>
        </w:tc>
        <w:tc>
          <w:tcPr>
            <w:tcW w:w="1065"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实际</w:t>
            </w:r>
          </w:p>
          <w:p>
            <w:pPr>
              <w:jc w:val="both"/>
              <w:rPr>
                <w:rFonts w:ascii="仿宋" w:hAnsi="仿宋" w:eastAsia="仿宋"/>
                <w:color w:val="000000"/>
              </w:rPr>
            </w:pPr>
            <w:r>
              <w:rPr>
                <w:rFonts w:hint="eastAsia" w:ascii="仿宋" w:hAnsi="仿宋" w:eastAsia="仿宋"/>
                <w:color w:val="000000"/>
              </w:rPr>
              <w:t>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004" w:hRule="atLeast"/>
          <w:jc w:val="center"/>
        </w:trPr>
        <w:tc>
          <w:tcPr>
            <w:tcW w:w="693" w:type="dxa"/>
            <w:vMerge w:val="continue"/>
            <w:shd w:val="clear" w:color="auto" w:fill="auto"/>
            <w:vAlign w:val="center"/>
          </w:tcPr>
          <w:p>
            <w:pPr>
              <w:rPr>
                <w:rFonts w:ascii="仿宋" w:hAnsi="仿宋" w:eastAsia="仿宋" w:cs="宋体"/>
                <w:color w:val="000000"/>
              </w:rPr>
            </w:pPr>
          </w:p>
        </w:tc>
        <w:tc>
          <w:tcPr>
            <w:tcW w:w="740" w:type="dxa"/>
            <w:shd w:val="clear" w:color="auto" w:fill="auto"/>
            <w:noWrap/>
            <w:tcMar>
              <w:top w:w="15" w:type="dxa"/>
              <w:left w:w="15" w:type="dxa"/>
              <w:bottom w:w="0" w:type="dxa"/>
              <w:right w:w="15" w:type="dxa"/>
            </w:tcMar>
            <w:vAlign w:val="center"/>
          </w:tcPr>
          <w:p>
            <w:pPr>
              <w:jc w:val="both"/>
              <w:rPr>
                <w:rFonts w:ascii="仿宋" w:hAnsi="仿宋" w:eastAsia="仿宋"/>
                <w:color w:val="000000"/>
              </w:rPr>
            </w:pPr>
            <w:r>
              <w:rPr>
                <w:rFonts w:hint="eastAsia" w:ascii="仿宋" w:hAnsi="仿宋" w:eastAsia="仿宋"/>
                <w:color w:val="000000"/>
              </w:rPr>
              <w:t>质量</w:t>
            </w:r>
          </w:p>
          <w:p>
            <w:pPr>
              <w:jc w:val="both"/>
              <w:rPr>
                <w:rFonts w:ascii="仿宋" w:hAnsi="仿宋" w:eastAsia="仿宋"/>
                <w:color w:val="000000"/>
              </w:rPr>
            </w:pPr>
            <w:r>
              <w:rPr>
                <w:rFonts w:hint="eastAsia" w:ascii="仿宋" w:hAnsi="仿宋" w:eastAsia="仿宋"/>
                <w:color w:val="000000"/>
              </w:rPr>
              <w:t>指标</w:t>
            </w:r>
          </w:p>
        </w:tc>
        <w:tc>
          <w:tcPr>
            <w:tcW w:w="1843"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采购物资、建设</w:t>
            </w:r>
          </w:p>
          <w:p>
            <w:pPr>
              <w:jc w:val="both"/>
              <w:rPr>
                <w:rFonts w:ascii="仿宋" w:hAnsi="仿宋" w:eastAsia="仿宋"/>
                <w:color w:val="000000"/>
              </w:rPr>
            </w:pPr>
            <w:r>
              <w:rPr>
                <w:rFonts w:hint="eastAsia" w:ascii="仿宋" w:hAnsi="仿宋" w:eastAsia="仿宋"/>
                <w:color w:val="000000"/>
              </w:rPr>
              <w:t>工程合格</w:t>
            </w:r>
          </w:p>
          <w:p>
            <w:pPr>
              <w:jc w:val="both"/>
              <w:rPr>
                <w:rFonts w:ascii="仿宋" w:hAnsi="仿宋" w:eastAsia="仿宋"/>
                <w:color w:val="000000"/>
              </w:rPr>
            </w:pPr>
            <w:r>
              <w:rPr>
                <w:rFonts w:hint="eastAsia" w:ascii="仿宋" w:hAnsi="仿宋" w:eastAsia="仿宋"/>
                <w:color w:val="000000"/>
              </w:rPr>
              <w:t>率</w:t>
            </w:r>
          </w:p>
        </w:tc>
        <w:tc>
          <w:tcPr>
            <w:tcW w:w="3118"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采购物资、建设工程合格率</w:t>
            </w:r>
          </w:p>
        </w:tc>
        <w:tc>
          <w:tcPr>
            <w:tcW w:w="4536"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20分合格率100%得满分，否则不得分</w:t>
            </w:r>
          </w:p>
        </w:tc>
        <w:tc>
          <w:tcPr>
            <w:tcW w:w="709"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w:t>
            </w:r>
          </w:p>
        </w:tc>
        <w:tc>
          <w:tcPr>
            <w:tcW w:w="425"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100</w:t>
            </w:r>
          </w:p>
        </w:tc>
        <w:tc>
          <w:tcPr>
            <w:tcW w:w="1701"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w:t>
            </w:r>
          </w:p>
        </w:tc>
        <w:tc>
          <w:tcPr>
            <w:tcW w:w="1065"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质量</w:t>
            </w:r>
          </w:p>
          <w:p>
            <w:pPr>
              <w:jc w:val="both"/>
              <w:rPr>
                <w:rFonts w:ascii="仿宋" w:hAnsi="仿宋" w:eastAsia="仿宋"/>
                <w:color w:val="000000"/>
              </w:rPr>
            </w:pPr>
            <w:r>
              <w:rPr>
                <w:rFonts w:hint="eastAsia" w:ascii="仿宋" w:hAnsi="仿宋" w:eastAsia="仿宋"/>
                <w:color w:val="000000"/>
              </w:rPr>
              <w:t>评价</w:t>
            </w:r>
          </w:p>
          <w:p>
            <w:pPr>
              <w:jc w:val="both"/>
              <w:rPr>
                <w:rFonts w:ascii="仿宋" w:hAnsi="仿宋" w:eastAsia="仿宋"/>
                <w:color w:val="000000"/>
              </w:rPr>
            </w:pPr>
            <w:r>
              <w:rPr>
                <w:rFonts w:hint="eastAsia" w:ascii="仿宋" w:hAnsi="仿宋" w:eastAsia="仿宋"/>
                <w:color w:val="000000"/>
              </w:rPr>
              <w:t>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004" w:hRule="atLeast"/>
          <w:jc w:val="center"/>
        </w:trPr>
        <w:tc>
          <w:tcPr>
            <w:tcW w:w="693" w:type="dxa"/>
            <w:vMerge w:val="continue"/>
            <w:shd w:val="clear" w:color="auto" w:fill="auto"/>
            <w:vAlign w:val="center"/>
          </w:tcPr>
          <w:p>
            <w:pPr>
              <w:rPr>
                <w:rFonts w:ascii="仿宋" w:hAnsi="仿宋" w:eastAsia="仿宋" w:cs="宋体"/>
                <w:color w:val="000000"/>
              </w:rPr>
            </w:pPr>
          </w:p>
        </w:tc>
        <w:tc>
          <w:tcPr>
            <w:tcW w:w="740" w:type="dxa"/>
            <w:shd w:val="clear" w:color="auto" w:fill="auto"/>
            <w:noWrap/>
            <w:tcMar>
              <w:top w:w="15" w:type="dxa"/>
              <w:left w:w="15" w:type="dxa"/>
              <w:bottom w:w="0" w:type="dxa"/>
              <w:right w:w="15" w:type="dxa"/>
            </w:tcMar>
            <w:vAlign w:val="center"/>
          </w:tcPr>
          <w:p>
            <w:pPr>
              <w:jc w:val="both"/>
              <w:rPr>
                <w:rFonts w:ascii="仿宋" w:hAnsi="仿宋" w:eastAsia="仿宋"/>
                <w:color w:val="000000"/>
              </w:rPr>
            </w:pPr>
            <w:r>
              <w:rPr>
                <w:rFonts w:hint="eastAsia" w:ascii="仿宋" w:hAnsi="仿宋" w:eastAsia="仿宋"/>
                <w:color w:val="000000"/>
              </w:rPr>
              <w:t>时效</w:t>
            </w:r>
          </w:p>
          <w:p>
            <w:pPr>
              <w:jc w:val="both"/>
              <w:rPr>
                <w:rFonts w:ascii="仿宋" w:hAnsi="仿宋" w:eastAsia="仿宋"/>
                <w:color w:val="000000"/>
              </w:rPr>
            </w:pPr>
            <w:r>
              <w:rPr>
                <w:rFonts w:hint="eastAsia" w:ascii="仿宋" w:hAnsi="仿宋" w:eastAsia="仿宋"/>
                <w:color w:val="000000"/>
              </w:rPr>
              <w:t>指标</w:t>
            </w:r>
          </w:p>
        </w:tc>
        <w:tc>
          <w:tcPr>
            <w:tcW w:w="1843"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学校的各项工作任务及时完成情况</w:t>
            </w:r>
          </w:p>
        </w:tc>
        <w:tc>
          <w:tcPr>
            <w:tcW w:w="3118"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学校的各项工作任务及时完成情况</w:t>
            </w:r>
          </w:p>
        </w:tc>
        <w:tc>
          <w:tcPr>
            <w:tcW w:w="4536"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10分及时完成得满分，否则不得分</w:t>
            </w:r>
          </w:p>
        </w:tc>
        <w:tc>
          <w:tcPr>
            <w:tcW w:w="709"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文字描述</w:t>
            </w:r>
          </w:p>
        </w:tc>
        <w:tc>
          <w:tcPr>
            <w:tcW w:w="425" w:type="dxa"/>
            <w:shd w:val="clear" w:color="auto" w:fill="auto"/>
            <w:noWrap/>
            <w:tcMar>
              <w:top w:w="15" w:type="dxa"/>
              <w:left w:w="15" w:type="dxa"/>
              <w:bottom w:w="0" w:type="dxa"/>
              <w:right w:w="15" w:type="dxa"/>
            </w:tcMar>
            <w:vAlign w:val="center"/>
          </w:tcPr>
          <w:p>
            <w:pPr>
              <w:jc w:val="both"/>
              <w:rPr>
                <w:rFonts w:ascii="仿宋" w:hAnsi="仿宋" w:eastAsia="仿宋"/>
                <w:color w:val="000000"/>
              </w:rPr>
            </w:pPr>
          </w:p>
        </w:tc>
        <w:tc>
          <w:tcPr>
            <w:tcW w:w="1701" w:type="dxa"/>
            <w:shd w:val="clear" w:color="auto" w:fill="auto"/>
            <w:noWrap/>
            <w:tcMar>
              <w:top w:w="15" w:type="dxa"/>
              <w:left w:w="15" w:type="dxa"/>
              <w:bottom w:w="0" w:type="dxa"/>
              <w:right w:w="15" w:type="dxa"/>
            </w:tcMar>
          </w:tcPr>
          <w:p>
            <w:pPr>
              <w:jc w:val="both"/>
              <w:rPr>
                <w:rFonts w:ascii="仿宋" w:hAnsi="仿宋" w:eastAsia="仿宋" w:cs="宋体"/>
                <w:color w:val="000000"/>
              </w:rPr>
            </w:pPr>
            <w:r>
              <w:rPr>
                <w:rFonts w:hint="eastAsia" w:ascii="仿宋" w:hAnsi="仿宋" w:eastAsia="仿宋"/>
                <w:color w:val="000000"/>
              </w:rPr>
              <w:t>及时</w:t>
            </w:r>
          </w:p>
        </w:tc>
        <w:tc>
          <w:tcPr>
            <w:tcW w:w="1065"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年初</w:t>
            </w:r>
          </w:p>
          <w:p>
            <w:pPr>
              <w:jc w:val="both"/>
              <w:rPr>
                <w:rFonts w:ascii="仿宋" w:hAnsi="仿宋" w:eastAsia="仿宋"/>
                <w:color w:val="000000"/>
              </w:rPr>
            </w:pPr>
            <w:r>
              <w:rPr>
                <w:rFonts w:hint="eastAsia" w:ascii="仿宋" w:hAnsi="仿宋" w:eastAsia="仿宋"/>
                <w:color w:val="000000"/>
              </w:rPr>
              <w:t>工作</w:t>
            </w:r>
          </w:p>
          <w:p>
            <w:pPr>
              <w:jc w:val="both"/>
              <w:rPr>
                <w:rFonts w:ascii="仿宋" w:hAnsi="仿宋" w:eastAsia="仿宋"/>
                <w:color w:val="000000"/>
              </w:rPr>
            </w:pPr>
            <w:r>
              <w:rPr>
                <w:rFonts w:hint="eastAsia" w:ascii="仿宋" w:hAnsi="仿宋" w:eastAsia="仿宋"/>
                <w:color w:val="000000"/>
              </w:rPr>
              <w:t>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70" w:hRule="atLeast"/>
          <w:jc w:val="center"/>
        </w:trPr>
        <w:tc>
          <w:tcPr>
            <w:tcW w:w="693" w:type="dxa"/>
            <w:vMerge w:val="continue"/>
            <w:shd w:val="clear" w:color="auto" w:fill="auto"/>
            <w:vAlign w:val="center"/>
          </w:tcPr>
          <w:p>
            <w:pPr>
              <w:rPr>
                <w:rFonts w:ascii="仿宋" w:hAnsi="仿宋" w:eastAsia="仿宋" w:cs="宋体"/>
                <w:color w:val="000000"/>
              </w:rPr>
            </w:pPr>
          </w:p>
        </w:tc>
        <w:tc>
          <w:tcPr>
            <w:tcW w:w="740" w:type="dxa"/>
            <w:shd w:val="clear" w:color="auto" w:fill="auto"/>
            <w:noWrap/>
            <w:tcMar>
              <w:top w:w="15" w:type="dxa"/>
              <w:left w:w="15" w:type="dxa"/>
              <w:bottom w:w="0" w:type="dxa"/>
              <w:right w:w="15" w:type="dxa"/>
            </w:tcMar>
            <w:vAlign w:val="center"/>
          </w:tcPr>
          <w:p>
            <w:pPr>
              <w:jc w:val="both"/>
              <w:rPr>
                <w:rFonts w:ascii="仿宋" w:hAnsi="仿宋" w:eastAsia="仿宋"/>
                <w:color w:val="000000"/>
              </w:rPr>
            </w:pPr>
            <w:r>
              <w:rPr>
                <w:rFonts w:hint="eastAsia" w:ascii="仿宋" w:hAnsi="仿宋" w:eastAsia="仿宋"/>
                <w:color w:val="000000"/>
              </w:rPr>
              <w:t>成本</w:t>
            </w:r>
          </w:p>
          <w:p>
            <w:pPr>
              <w:jc w:val="both"/>
              <w:rPr>
                <w:rFonts w:ascii="仿宋" w:hAnsi="仿宋" w:eastAsia="仿宋"/>
                <w:color w:val="000000"/>
              </w:rPr>
            </w:pPr>
            <w:r>
              <w:rPr>
                <w:rFonts w:hint="eastAsia" w:ascii="仿宋" w:hAnsi="仿宋" w:eastAsia="仿宋"/>
                <w:color w:val="000000"/>
              </w:rPr>
              <w:t>指标</w:t>
            </w:r>
          </w:p>
        </w:tc>
        <w:tc>
          <w:tcPr>
            <w:tcW w:w="1843"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教育经费使用控制率</w:t>
            </w:r>
          </w:p>
        </w:tc>
        <w:tc>
          <w:tcPr>
            <w:tcW w:w="3118"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支出的公用经费总额与预算安排的比率</w:t>
            </w:r>
          </w:p>
        </w:tc>
        <w:tc>
          <w:tcPr>
            <w:tcW w:w="4536"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10分教育经费决算数不大于调整预算数得满分，否则不得分</w:t>
            </w:r>
          </w:p>
        </w:tc>
        <w:tc>
          <w:tcPr>
            <w:tcW w:w="709"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文字描述</w:t>
            </w:r>
          </w:p>
        </w:tc>
        <w:tc>
          <w:tcPr>
            <w:tcW w:w="425" w:type="dxa"/>
            <w:shd w:val="clear" w:color="auto" w:fill="auto"/>
            <w:noWrap/>
            <w:tcMar>
              <w:top w:w="15" w:type="dxa"/>
              <w:left w:w="15" w:type="dxa"/>
              <w:bottom w:w="0" w:type="dxa"/>
              <w:right w:w="15" w:type="dxa"/>
            </w:tcMar>
            <w:vAlign w:val="center"/>
          </w:tcPr>
          <w:p>
            <w:pPr>
              <w:jc w:val="both"/>
              <w:rPr>
                <w:rFonts w:ascii="仿宋" w:hAnsi="仿宋" w:eastAsia="仿宋"/>
                <w:color w:val="000000"/>
              </w:rPr>
            </w:pPr>
          </w:p>
        </w:tc>
        <w:tc>
          <w:tcPr>
            <w:tcW w:w="1701" w:type="dxa"/>
            <w:shd w:val="clear" w:color="auto" w:fill="auto"/>
            <w:noWrap/>
            <w:tcMar>
              <w:top w:w="15" w:type="dxa"/>
              <w:left w:w="15" w:type="dxa"/>
              <w:bottom w:w="0" w:type="dxa"/>
              <w:right w:w="15" w:type="dxa"/>
            </w:tcMar>
          </w:tcPr>
          <w:p>
            <w:pPr>
              <w:jc w:val="both"/>
              <w:rPr>
                <w:rFonts w:ascii="仿宋" w:hAnsi="仿宋" w:eastAsia="仿宋" w:cs="宋体"/>
                <w:color w:val="000000"/>
              </w:rPr>
            </w:pPr>
            <w:r>
              <w:rPr>
                <w:rFonts w:hint="eastAsia" w:ascii="仿宋" w:hAnsi="仿宋" w:eastAsia="仿宋"/>
                <w:color w:val="000000"/>
              </w:rPr>
              <w:t>教育经费决算数不大于调整预算数</w:t>
            </w:r>
          </w:p>
        </w:tc>
        <w:tc>
          <w:tcPr>
            <w:tcW w:w="1065"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实际</w:t>
            </w:r>
          </w:p>
          <w:p>
            <w:pPr>
              <w:jc w:val="both"/>
              <w:rPr>
                <w:rFonts w:ascii="仿宋" w:hAnsi="仿宋" w:eastAsia="仿宋"/>
                <w:color w:val="000000"/>
              </w:rPr>
            </w:pPr>
            <w:r>
              <w:rPr>
                <w:rFonts w:hint="eastAsia" w:ascii="仿宋" w:hAnsi="仿宋" w:eastAsia="仿宋"/>
                <w:color w:val="000000"/>
              </w:rPr>
              <w:t>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004" w:hRule="atLeast"/>
          <w:jc w:val="center"/>
        </w:trPr>
        <w:tc>
          <w:tcPr>
            <w:tcW w:w="693" w:type="dxa"/>
            <w:vMerge w:val="restart"/>
            <w:shd w:val="clear" w:color="auto" w:fill="auto"/>
            <w:noWrap/>
            <w:tcMar>
              <w:top w:w="15" w:type="dxa"/>
              <w:left w:w="15" w:type="dxa"/>
              <w:bottom w:w="0" w:type="dxa"/>
              <w:right w:w="15" w:type="dxa"/>
            </w:tcMar>
            <w:vAlign w:val="center"/>
          </w:tcPr>
          <w:p>
            <w:pPr>
              <w:jc w:val="center"/>
              <w:rPr>
                <w:rFonts w:ascii="仿宋" w:hAnsi="仿宋" w:eastAsia="仿宋" w:cs="宋体"/>
                <w:color w:val="000000"/>
              </w:rPr>
            </w:pPr>
            <w:r>
              <w:rPr>
                <w:rFonts w:hint="eastAsia" w:ascii="仿宋" w:hAnsi="仿宋" w:eastAsia="仿宋"/>
                <w:color w:val="000000"/>
              </w:rPr>
              <w:t>部门效果</w:t>
            </w:r>
          </w:p>
        </w:tc>
        <w:tc>
          <w:tcPr>
            <w:tcW w:w="740" w:type="dxa"/>
            <w:shd w:val="clear" w:color="auto" w:fill="auto"/>
            <w:noWrap/>
            <w:tcMar>
              <w:top w:w="15" w:type="dxa"/>
              <w:left w:w="15" w:type="dxa"/>
              <w:bottom w:w="0" w:type="dxa"/>
              <w:right w:w="15" w:type="dxa"/>
            </w:tcMar>
            <w:vAlign w:val="center"/>
          </w:tcPr>
          <w:p>
            <w:pPr>
              <w:jc w:val="both"/>
              <w:rPr>
                <w:rFonts w:ascii="仿宋" w:hAnsi="仿宋" w:eastAsia="仿宋"/>
                <w:color w:val="000000"/>
              </w:rPr>
            </w:pPr>
            <w:r>
              <w:rPr>
                <w:rFonts w:hint="eastAsia" w:ascii="仿宋" w:hAnsi="仿宋" w:eastAsia="仿宋"/>
                <w:color w:val="000000"/>
              </w:rPr>
              <w:t>社会</w:t>
            </w:r>
          </w:p>
          <w:p>
            <w:pPr>
              <w:jc w:val="both"/>
              <w:rPr>
                <w:rFonts w:ascii="仿宋" w:hAnsi="仿宋" w:eastAsia="仿宋"/>
                <w:color w:val="000000"/>
              </w:rPr>
            </w:pPr>
            <w:r>
              <w:rPr>
                <w:rFonts w:hint="eastAsia" w:ascii="仿宋" w:hAnsi="仿宋" w:eastAsia="仿宋"/>
                <w:color w:val="000000"/>
              </w:rPr>
              <w:t>效益</w:t>
            </w:r>
          </w:p>
          <w:p>
            <w:pPr>
              <w:jc w:val="both"/>
              <w:rPr>
                <w:rFonts w:ascii="仿宋" w:hAnsi="仿宋" w:eastAsia="仿宋"/>
                <w:color w:val="000000"/>
                <w:lang w:eastAsia="zh-CN"/>
              </w:rPr>
            </w:pPr>
          </w:p>
        </w:tc>
        <w:tc>
          <w:tcPr>
            <w:tcW w:w="1843"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义务教育高质量发展</w:t>
            </w:r>
          </w:p>
        </w:tc>
        <w:tc>
          <w:tcPr>
            <w:tcW w:w="3118"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推动义务教育从数量扩张向质量提高转变</w:t>
            </w:r>
          </w:p>
        </w:tc>
        <w:tc>
          <w:tcPr>
            <w:tcW w:w="4536"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10分学生、家长、社会对学校整体满意度达到95%得满分，每降低1%扣1分，扣完为止。</w:t>
            </w:r>
          </w:p>
        </w:tc>
        <w:tc>
          <w:tcPr>
            <w:tcW w:w="709"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w:t>
            </w:r>
          </w:p>
        </w:tc>
        <w:tc>
          <w:tcPr>
            <w:tcW w:w="425"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95</w:t>
            </w:r>
          </w:p>
        </w:tc>
        <w:tc>
          <w:tcPr>
            <w:tcW w:w="1701"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w:t>
            </w:r>
          </w:p>
        </w:tc>
        <w:tc>
          <w:tcPr>
            <w:tcW w:w="1065"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部门</w:t>
            </w:r>
          </w:p>
          <w:p>
            <w:pPr>
              <w:jc w:val="both"/>
              <w:rPr>
                <w:rFonts w:ascii="仿宋" w:hAnsi="仿宋" w:eastAsia="仿宋"/>
                <w:color w:val="000000"/>
              </w:rPr>
            </w:pPr>
            <w:r>
              <w:rPr>
                <w:rFonts w:hint="eastAsia" w:ascii="仿宋" w:hAnsi="仿宋" w:eastAsia="仿宋"/>
                <w:color w:val="000000"/>
              </w:rPr>
              <w:t>职责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696" w:hRule="atLeast"/>
          <w:jc w:val="center"/>
        </w:trPr>
        <w:tc>
          <w:tcPr>
            <w:tcW w:w="693" w:type="dxa"/>
            <w:vMerge w:val="continue"/>
            <w:shd w:val="clear" w:color="auto" w:fill="auto"/>
            <w:vAlign w:val="center"/>
          </w:tcPr>
          <w:p>
            <w:pPr>
              <w:rPr>
                <w:rFonts w:ascii="仿宋" w:hAnsi="仿宋" w:eastAsia="仿宋" w:cs="宋体"/>
                <w:color w:val="000000"/>
              </w:rPr>
            </w:pPr>
          </w:p>
        </w:tc>
        <w:tc>
          <w:tcPr>
            <w:tcW w:w="740" w:type="dxa"/>
            <w:shd w:val="clear" w:color="auto" w:fill="auto"/>
            <w:noWrap/>
            <w:tcMar>
              <w:top w:w="15" w:type="dxa"/>
              <w:left w:w="15" w:type="dxa"/>
              <w:bottom w:w="0" w:type="dxa"/>
              <w:right w:w="15" w:type="dxa"/>
            </w:tcMar>
            <w:vAlign w:val="center"/>
          </w:tcPr>
          <w:p>
            <w:pPr>
              <w:jc w:val="both"/>
              <w:rPr>
                <w:rFonts w:ascii="仿宋" w:hAnsi="仿宋" w:eastAsia="仿宋"/>
                <w:color w:val="000000"/>
              </w:rPr>
            </w:pPr>
            <w:r>
              <w:rPr>
                <w:rFonts w:hint="eastAsia" w:ascii="仿宋" w:hAnsi="仿宋" w:eastAsia="仿宋"/>
                <w:color w:val="000000"/>
              </w:rPr>
              <w:t>满意</w:t>
            </w:r>
          </w:p>
          <w:p>
            <w:pPr>
              <w:jc w:val="both"/>
              <w:rPr>
                <w:rFonts w:ascii="仿宋" w:hAnsi="仿宋" w:eastAsia="仿宋" w:cs="宋体"/>
                <w:color w:val="000000"/>
                <w:lang w:eastAsia="zh-CN"/>
              </w:rPr>
            </w:pPr>
            <w:r>
              <w:rPr>
                <w:rFonts w:hint="eastAsia" w:ascii="仿宋" w:hAnsi="仿宋" w:eastAsia="仿宋"/>
                <w:color w:val="000000"/>
              </w:rPr>
              <w:t>度</w:t>
            </w:r>
          </w:p>
        </w:tc>
        <w:tc>
          <w:tcPr>
            <w:tcW w:w="1843"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在校师生的满意程度</w:t>
            </w:r>
          </w:p>
        </w:tc>
        <w:tc>
          <w:tcPr>
            <w:tcW w:w="3118"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在校师生的满意程度</w:t>
            </w:r>
          </w:p>
        </w:tc>
        <w:tc>
          <w:tcPr>
            <w:tcW w:w="4536"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10分在校师生的满意度达到95%得满分，每降低1%扣1分，扣完为止。</w:t>
            </w:r>
          </w:p>
        </w:tc>
        <w:tc>
          <w:tcPr>
            <w:tcW w:w="709"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w:t>
            </w:r>
          </w:p>
        </w:tc>
        <w:tc>
          <w:tcPr>
            <w:tcW w:w="425"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95</w:t>
            </w:r>
          </w:p>
        </w:tc>
        <w:tc>
          <w:tcPr>
            <w:tcW w:w="1701"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w:t>
            </w:r>
          </w:p>
        </w:tc>
        <w:tc>
          <w:tcPr>
            <w:tcW w:w="1065"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调查</w:t>
            </w:r>
          </w:p>
          <w:p>
            <w:pPr>
              <w:jc w:val="both"/>
              <w:rPr>
                <w:rFonts w:ascii="仿宋" w:hAnsi="仿宋" w:eastAsia="仿宋"/>
                <w:color w:val="000000"/>
              </w:rPr>
            </w:pPr>
            <w:r>
              <w:rPr>
                <w:rFonts w:hint="eastAsia" w:ascii="仿宋" w:hAnsi="仿宋" w:eastAsia="仿宋"/>
                <w:color w:val="000000"/>
              </w:rPr>
              <w:t>问卷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823" w:hRule="atLeast"/>
          <w:jc w:val="center"/>
        </w:trPr>
        <w:tc>
          <w:tcPr>
            <w:tcW w:w="693" w:type="dxa"/>
            <w:vMerge w:val="continue"/>
            <w:shd w:val="clear" w:color="auto" w:fill="auto"/>
            <w:vAlign w:val="center"/>
          </w:tcPr>
          <w:p>
            <w:pPr>
              <w:rPr>
                <w:rFonts w:ascii="仿宋" w:hAnsi="仿宋" w:eastAsia="仿宋" w:cs="宋体"/>
                <w:color w:val="000000"/>
              </w:rPr>
            </w:pPr>
          </w:p>
        </w:tc>
        <w:tc>
          <w:tcPr>
            <w:tcW w:w="740" w:type="dxa"/>
            <w:shd w:val="clear" w:color="auto" w:fill="auto"/>
            <w:noWrap/>
            <w:tcMar>
              <w:top w:w="15" w:type="dxa"/>
              <w:left w:w="15" w:type="dxa"/>
              <w:bottom w:w="0" w:type="dxa"/>
              <w:right w:w="15" w:type="dxa"/>
            </w:tcMar>
            <w:vAlign w:val="center"/>
          </w:tcPr>
          <w:p>
            <w:pPr>
              <w:jc w:val="both"/>
              <w:rPr>
                <w:rFonts w:ascii="仿宋" w:hAnsi="仿宋" w:eastAsia="仿宋"/>
                <w:color w:val="000000"/>
              </w:rPr>
            </w:pPr>
            <w:r>
              <w:rPr>
                <w:rFonts w:hint="eastAsia" w:ascii="仿宋" w:hAnsi="仿宋" w:eastAsia="仿宋"/>
                <w:color w:val="000000"/>
              </w:rPr>
              <w:t>满意</w:t>
            </w:r>
          </w:p>
          <w:p>
            <w:pPr>
              <w:jc w:val="both"/>
              <w:rPr>
                <w:rFonts w:ascii="仿宋" w:hAnsi="仿宋" w:eastAsia="仿宋" w:cs="宋体"/>
                <w:color w:val="000000"/>
                <w:lang w:eastAsia="zh-CN"/>
              </w:rPr>
            </w:pPr>
            <w:r>
              <w:rPr>
                <w:rFonts w:hint="eastAsia" w:ascii="仿宋" w:hAnsi="仿宋" w:eastAsia="仿宋"/>
                <w:color w:val="000000"/>
              </w:rPr>
              <w:t>度</w:t>
            </w:r>
          </w:p>
        </w:tc>
        <w:tc>
          <w:tcPr>
            <w:tcW w:w="1843"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家长的满意程度</w:t>
            </w:r>
          </w:p>
        </w:tc>
        <w:tc>
          <w:tcPr>
            <w:tcW w:w="3118"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家长的满意程度</w:t>
            </w:r>
          </w:p>
        </w:tc>
        <w:tc>
          <w:tcPr>
            <w:tcW w:w="4536"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10分家长的满意度达到95%得满分，每降低1%扣1分，扣完为止。</w:t>
            </w:r>
          </w:p>
        </w:tc>
        <w:tc>
          <w:tcPr>
            <w:tcW w:w="709"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w:t>
            </w:r>
          </w:p>
        </w:tc>
        <w:tc>
          <w:tcPr>
            <w:tcW w:w="425"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95</w:t>
            </w:r>
          </w:p>
        </w:tc>
        <w:tc>
          <w:tcPr>
            <w:tcW w:w="1701"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w:t>
            </w:r>
          </w:p>
        </w:tc>
        <w:tc>
          <w:tcPr>
            <w:tcW w:w="1065"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调查</w:t>
            </w:r>
          </w:p>
          <w:p>
            <w:pPr>
              <w:jc w:val="both"/>
              <w:rPr>
                <w:rFonts w:ascii="仿宋" w:hAnsi="仿宋" w:eastAsia="仿宋"/>
                <w:color w:val="000000"/>
              </w:rPr>
            </w:pPr>
            <w:r>
              <w:rPr>
                <w:rFonts w:hint="eastAsia" w:ascii="仿宋" w:hAnsi="仿宋" w:eastAsia="仿宋"/>
                <w:color w:val="000000"/>
              </w:rPr>
              <w:t>问卷</w:t>
            </w:r>
          </w:p>
        </w:tc>
      </w:tr>
    </w:tbl>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第二部分  预算项目绩效目标</w:t>
      </w:r>
    </w:p>
    <w:p>
      <w:pPr>
        <w:ind w:firstLine="640"/>
        <w:rPr>
          <w:rFonts w:ascii="方正楷体_GBK" w:hAnsi="方正楷体_GBK" w:eastAsia="方正楷体_GBK" w:cs="方正楷体_GBK"/>
          <w:b/>
          <w:color w:val="000000"/>
          <w:sz w:val="32"/>
          <w:lang w:eastAsia="zh-CN"/>
        </w:rPr>
      </w:pPr>
    </w:p>
    <w:p>
      <w:pPr>
        <w:ind w:firstLine="640"/>
      </w:pPr>
      <w:r>
        <w:rPr>
          <w:rFonts w:ascii="方正仿宋_GBK" w:hAnsi="方正仿宋_GBK" w:eastAsia="方正仿宋_GBK" w:cs="方正仿宋_GBK"/>
          <w:b/>
          <w:color w:val="000000"/>
          <w:sz w:val="28"/>
        </w:rPr>
        <w:t>1、义务教育学校生均公用经费资金[区级]绩效目标表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1.廊坊市第二十三小学对2023年在校学生2697人，按照义务教育生均公用经费标准申请财政预算资金，通过合理、合规使用资金达到保证学校正常运转，改善办学条件，促进义务教育发展。</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生均公用经费保障的学生人数</w:t>
            </w:r>
          </w:p>
        </w:tc>
        <w:tc>
          <w:tcPr>
            <w:tcW w:w="2835" w:type="dxa"/>
            <w:vAlign w:val="center"/>
          </w:tcPr>
          <w:p>
            <w:pPr>
              <w:pStyle w:val="17"/>
            </w:pPr>
            <w:r>
              <w:t>保障使用生均公用经费的实际校学生人数</w:t>
            </w:r>
          </w:p>
        </w:tc>
        <w:tc>
          <w:tcPr>
            <w:tcW w:w="2551" w:type="dxa"/>
            <w:vAlign w:val="center"/>
          </w:tcPr>
          <w:p>
            <w:pPr>
              <w:pStyle w:val="17"/>
            </w:pPr>
            <w:r>
              <w:t>2697人</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生均公用经费使用的合规率</w:t>
            </w:r>
          </w:p>
        </w:tc>
        <w:tc>
          <w:tcPr>
            <w:tcW w:w="2835" w:type="dxa"/>
            <w:vAlign w:val="center"/>
          </w:tcPr>
          <w:p>
            <w:pPr>
              <w:pStyle w:val="17"/>
            </w:pPr>
            <w:r>
              <w:t>生均公用经费使用符合文件中的相关规定</w:t>
            </w:r>
          </w:p>
        </w:tc>
        <w:tc>
          <w:tcPr>
            <w:tcW w:w="2551" w:type="dxa"/>
            <w:vAlign w:val="center"/>
          </w:tcPr>
          <w:p>
            <w:pPr>
              <w:pStyle w:val="17"/>
            </w:pPr>
            <w:r>
              <w:t>100%</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用于保障学校正常运转项目完成及时率</w:t>
            </w:r>
          </w:p>
        </w:tc>
        <w:tc>
          <w:tcPr>
            <w:tcW w:w="2835" w:type="dxa"/>
            <w:vAlign w:val="center"/>
          </w:tcPr>
          <w:p>
            <w:pPr>
              <w:pStyle w:val="17"/>
            </w:pPr>
            <w:r>
              <w:t>使用生均公用经费，用于保障学校正常运转的项目完成情况</w:t>
            </w:r>
          </w:p>
        </w:tc>
        <w:tc>
          <w:tcPr>
            <w:tcW w:w="2551" w:type="dxa"/>
            <w:vAlign w:val="center"/>
          </w:tcPr>
          <w:p>
            <w:pPr>
              <w:pStyle w:val="17"/>
            </w:pPr>
            <w:r>
              <w:t>100%</w:t>
            </w:r>
          </w:p>
        </w:tc>
        <w:tc>
          <w:tcPr>
            <w:tcW w:w="2268" w:type="dxa"/>
            <w:vAlign w:val="center"/>
          </w:tcPr>
          <w:p>
            <w:pPr>
              <w:pStyle w:val="17"/>
            </w:pPr>
            <w: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使用生均公用经费，用于保障学校正常运转的项目支出成本</w:t>
            </w:r>
          </w:p>
        </w:tc>
        <w:tc>
          <w:tcPr>
            <w:tcW w:w="2835" w:type="dxa"/>
            <w:vAlign w:val="center"/>
          </w:tcPr>
          <w:p>
            <w:pPr>
              <w:pStyle w:val="17"/>
            </w:pPr>
            <w:r>
              <w:t>使用生均公用经费，用于保障学校正常运转的项目支出成本等于935元/生</w:t>
            </w:r>
          </w:p>
        </w:tc>
        <w:tc>
          <w:tcPr>
            <w:tcW w:w="2551" w:type="dxa"/>
            <w:vAlign w:val="center"/>
          </w:tcPr>
          <w:p>
            <w:pPr>
              <w:pStyle w:val="17"/>
            </w:pPr>
            <w:r>
              <w:t>735元</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义务教育高质量发展</w:t>
            </w:r>
          </w:p>
        </w:tc>
        <w:tc>
          <w:tcPr>
            <w:tcW w:w="2835" w:type="dxa"/>
            <w:vAlign w:val="center"/>
          </w:tcPr>
          <w:p>
            <w:pPr>
              <w:pStyle w:val="17"/>
            </w:pPr>
            <w:r>
              <w:t>该资金用于学校正常运转，改善办学条件，促进义务教育均衡发展及学生素质提高</w:t>
            </w:r>
          </w:p>
        </w:tc>
        <w:tc>
          <w:tcPr>
            <w:tcW w:w="2551" w:type="dxa"/>
            <w:vAlign w:val="center"/>
          </w:tcPr>
          <w:p>
            <w:pPr>
              <w:pStyle w:val="17"/>
            </w:pPr>
            <w:r>
              <w:t>支持</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在校师生的满意程度</w:t>
            </w:r>
          </w:p>
        </w:tc>
        <w:tc>
          <w:tcPr>
            <w:tcW w:w="2835" w:type="dxa"/>
            <w:vAlign w:val="center"/>
          </w:tcPr>
          <w:p>
            <w:pPr>
              <w:pStyle w:val="17"/>
            </w:pPr>
            <w:r>
              <w:t>在校师生的满意程度</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2023年，廊坊市第二十三小学安排政府采购预算0.00万元。具体内容见下表。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54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2"/>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733" w:type="dxa"/>
            <w:gridSpan w:val="7"/>
            <w:tcBorders>
              <w:top w:val="single" w:color="FFFFFF" w:sz="6" w:space="0"/>
              <w:left w:val="single" w:color="FFFFFF" w:sz="6" w:space="0"/>
              <w:right w:val="single" w:color="FFFFFF" w:sz="6" w:space="0"/>
            </w:tcBorders>
            <w:vAlign w:val="center"/>
          </w:tcPr>
          <w:p>
            <w:pPr>
              <w:pStyle w:val="14"/>
            </w:pPr>
            <w:r>
              <w:t>463廊坊市第二十三小学</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56"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2"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92"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廊坊市第二十三小学（含所属单位）上年末固定资产金额为4962.77万元（详见下表）。本年度拟购置固定资产总额为39.50万元，已按要求列入政府采购预算，详见政府采购预算表。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463廊坊市第二十三小学</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4962.77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13054.62</w:t>
            </w:r>
          </w:p>
        </w:tc>
        <w:tc>
          <w:tcPr>
            <w:tcW w:w="2835" w:type="dxa"/>
            <w:vAlign w:val="center"/>
          </w:tcPr>
          <w:p>
            <w:pPr>
              <w:pStyle w:val="16"/>
            </w:pPr>
            <w:r>
              <w:t>4807.06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2046</w:t>
            </w: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220</w:t>
            </w:r>
          </w:p>
        </w:tc>
        <w:tc>
          <w:tcPr>
            <w:tcW w:w="2835" w:type="dxa"/>
            <w:vAlign w:val="center"/>
          </w:tcPr>
          <w:p>
            <w:pPr>
              <w:pStyle w:val="16"/>
            </w:pPr>
            <w:r>
              <w:t>155.71</w:t>
            </w:r>
          </w:p>
        </w:tc>
      </w:tr>
    </w:tbl>
    <w:p>
      <w:pPr>
        <w:ind w:firstLine="640"/>
      </w:pP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F9"/>
    <w:rsid w:val="00040949"/>
    <w:rsid w:val="000E4594"/>
    <w:rsid w:val="001265E7"/>
    <w:rsid w:val="003462E9"/>
    <w:rsid w:val="004F4D72"/>
    <w:rsid w:val="007A6CF9"/>
    <w:rsid w:val="009D02B6"/>
    <w:rsid w:val="00B111C4"/>
    <w:rsid w:val="129F42AF"/>
    <w:rsid w:val="6B8916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uiPriority w:val="99"/>
    <w:pPr>
      <w:tabs>
        <w:tab w:val="center" w:pos="4153"/>
        <w:tab w:val="right" w:pos="8306"/>
      </w:tabs>
      <w:snapToGrid w:val="0"/>
    </w:pPr>
    <w:rPr>
      <w:sz w:val="18"/>
      <w:szCs w:val="18"/>
    </w:rPr>
  </w:style>
  <w:style w:type="paragraph" w:styleId="4">
    <w:name w:val="header"/>
    <w:basedOn w:val="1"/>
    <w:link w:val="34"/>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semiHidden/>
    <w:uiPriority w:val="99"/>
    <w:rPr>
      <w:rFonts w:eastAsia="Times New Roman"/>
      <w:sz w:val="18"/>
      <w:szCs w:val="18"/>
      <w:lang w:eastAsia="uk-UA"/>
    </w:rPr>
  </w:style>
  <w:style w:type="character" w:customStyle="1" w:styleId="35">
    <w:name w:val="页脚 Char"/>
    <w:basedOn w:val="10"/>
    <w:link w:val="3"/>
    <w:semiHidden/>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2023-03-13T11:08:30Z</dcterms:created>
  <dcterms:modified xsi:type="dcterms:W3CDTF">2023-03-13T03:08:30Z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2023-03-13T11:08:27Z</dcterms:created>
  <dcterms:modified xsi:type="dcterms:W3CDTF">2023-03-13T03:08:27Z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2023-03-13T11:08:29Z</dcterms:created>
  <dcterms:modified xsi:type="dcterms:W3CDTF">2023-03-13T03:08:29Z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2023-03-13T11:08:29Z</dcterms:created>
  <dcterms:modified xsi:type="dcterms:W3CDTF">2023-03-13T03:08:29Z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2023-03-13T11:08:26Z</dcterms:created>
  <dcterms:modified xsi:type="dcterms:W3CDTF">2023-03-13T03:08:26Z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2023-03-13T11:08:26Z</dcterms:created>
  <dcterms:modified xsi:type="dcterms:W3CDTF">2023-03-13T03:08:26Z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2023-03-13T11:08:26Z</dcterms:created>
  <dcterms:modified xsi:type="dcterms:W3CDTF">2023-03-13T03:08:26Z</dcterms:modified>
</cp:coreProperties>
</file>

<file path=customXml/itemProps1.xml><?xml version="1.0" encoding="utf-8"?>
<ds:datastoreItem xmlns:ds="http://schemas.openxmlformats.org/officeDocument/2006/customXml" ds:itemID="{C26ACCB2-BD91-4ED4-A00F-05FAA2804AB1}">
  <ds:schemaRefs/>
</ds:datastoreItem>
</file>

<file path=customXml/itemProps10.xml><?xml version="1.0" encoding="utf-8"?>
<ds:datastoreItem xmlns:ds="http://schemas.openxmlformats.org/officeDocument/2006/customXml" ds:itemID="{385DB18A-F7CB-4E7C-8A80-78159C614510}">
  <ds:schemaRefs/>
</ds:datastoreItem>
</file>

<file path=customXml/itemProps11.xml><?xml version="1.0" encoding="utf-8"?>
<ds:datastoreItem xmlns:ds="http://schemas.openxmlformats.org/officeDocument/2006/customXml" ds:itemID="{0D3709E8-8095-4EA8-99F1-1F234B67939E}">
  <ds:schemaRefs/>
</ds:datastoreItem>
</file>

<file path=customXml/itemProps12.xml><?xml version="1.0" encoding="utf-8"?>
<ds:datastoreItem xmlns:ds="http://schemas.openxmlformats.org/officeDocument/2006/customXml" ds:itemID="{5837EA34-D761-4B3E-BF73-6A2512D5D138}">
  <ds:schemaRefs/>
</ds:datastoreItem>
</file>

<file path=customXml/itemProps13.xml><?xml version="1.0" encoding="utf-8"?>
<ds:datastoreItem xmlns:ds="http://schemas.openxmlformats.org/officeDocument/2006/customXml" ds:itemID="{3DD38CB4-4037-4975-AE4C-1E975921B708}">
  <ds:schemaRefs/>
</ds:datastoreItem>
</file>

<file path=customXml/itemProps14.xml><?xml version="1.0" encoding="utf-8"?>
<ds:datastoreItem xmlns:ds="http://schemas.openxmlformats.org/officeDocument/2006/customXml" ds:itemID="{3274641C-3F8E-4B23-8A9C-CC35B470CD9A}">
  <ds:schemaRefs/>
</ds:datastoreItem>
</file>

<file path=customXml/itemProps2.xml><?xml version="1.0" encoding="utf-8"?>
<ds:datastoreItem xmlns:ds="http://schemas.openxmlformats.org/officeDocument/2006/customXml" ds:itemID="{397C2997-A9F2-411D-95C8-7837EA197E39}">
  <ds:schemaRefs/>
</ds:datastoreItem>
</file>

<file path=customXml/itemProps3.xml><?xml version="1.0" encoding="utf-8"?>
<ds:datastoreItem xmlns:ds="http://schemas.openxmlformats.org/officeDocument/2006/customXml" ds:itemID="{045D8948-DA89-4143-9163-FF829A219F52}">
  <ds:schemaRefs/>
</ds:datastoreItem>
</file>

<file path=customXml/itemProps4.xml><?xml version="1.0" encoding="utf-8"?>
<ds:datastoreItem xmlns:ds="http://schemas.openxmlformats.org/officeDocument/2006/customXml" ds:itemID="{8E7033D9-3601-4C7B-BA4E-44157E616C55}">
  <ds:schemaRefs/>
</ds:datastoreItem>
</file>

<file path=customXml/itemProps5.xml><?xml version="1.0" encoding="utf-8"?>
<ds:datastoreItem xmlns:ds="http://schemas.openxmlformats.org/officeDocument/2006/customXml" ds:itemID="{F9A5327D-6C64-4BF6-AFD8-BC8D3494833C}">
  <ds:schemaRefs/>
</ds:datastoreItem>
</file>

<file path=customXml/itemProps6.xml><?xml version="1.0" encoding="utf-8"?>
<ds:datastoreItem xmlns:ds="http://schemas.openxmlformats.org/officeDocument/2006/customXml" ds:itemID="{71933E5E-A293-48E5-945F-6319E846DD23}">
  <ds:schemaRefs/>
</ds:datastoreItem>
</file>

<file path=customXml/itemProps7.xml><?xml version="1.0" encoding="utf-8"?>
<ds:datastoreItem xmlns:ds="http://schemas.openxmlformats.org/officeDocument/2006/customXml" ds:itemID="{80D6BC1F-F805-43C2-8500-3240AD40B3AB}">
  <ds:schemaRefs/>
</ds:datastoreItem>
</file>

<file path=customXml/itemProps8.xml><?xml version="1.0" encoding="utf-8"?>
<ds:datastoreItem xmlns:ds="http://schemas.openxmlformats.org/officeDocument/2006/customXml" ds:itemID="{C044BCCC-D65A-4692-AD89-D48901F358B3}">
  <ds:schemaRefs/>
</ds:datastoreItem>
</file>

<file path=customXml/itemProps9.xml><?xml version="1.0" encoding="utf-8"?>
<ds:datastoreItem xmlns:ds="http://schemas.openxmlformats.org/officeDocument/2006/customXml" ds:itemID="{0AF7841E-6477-4DF1-8E23-C73799426C0A}">
  <ds:schemaRefs/>
</ds:datastoreItem>
</file>

<file path=docProps/app.xml><?xml version="1.0" encoding="utf-8"?>
<Properties xmlns="http://schemas.openxmlformats.org/officeDocument/2006/extended-properties" xmlns:vt="http://schemas.openxmlformats.org/officeDocument/2006/docPropsVTypes">
  <Template>Normal</Template>
  <Pages>25</Pages>
  <Words>1535</Words>
  <Characters>8751</Characters>
  <Lines>72</Lines>
  <Paragraphs>20</Paragraphs>
  <TotalTime>5</TotalTime>
  <ScaleCrop>false</ScaleCrop>
  <LinksUpToDate>false</LinksUpToDate>
  <CharactersWithSpaces>10266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2023-03-13T11:08:00Z</dcterms:created>
  <dc:creator>Administrator</dc:creator>
  <cp:lastModifiedBy>Administrator</cp:lastModifiedBy>
  <dcterms:modified xsi:type="dcterms:W3CDTF">2024-01-11T11:09:03Z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352459EE1CB94FFF96FE8461AFA70B57</vt:lpwstr>
  </property>
</Properties>
</file>