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pPr>
    </w:p>
    <w:p>
      <w:pPr>
        <w:jc w:val="center"/>
      </w:pPr>
    </w:p>
    <w:p>
      <w:pPr>
        <w:jc w:val="cente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459001廊坊市第十二小学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1613.31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1613.31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1613.31</w:t>
            </w:r>
          </w:p>
        </w:tc>
        <w:tc>
          <w:tcPr>
            <w:tcW w:w="4535" w:type="dxa"/>
            <w:vAlign w:val="center"/>
          </w:tcPr>
          <w:p>
            <w:pPr>
              <w:pStyle w:val="19"/>
            </w:pPr>
            <w:r>
              <w:t>本年支出合计</w:t>
            </w:r>
          </w:p>
        </w:tc>
        <w:tc>
          <w:tcPr>
            <w:tcW w:w="2126" w:type="dxa"/>
            <w:vAlign w:val="center"/>
          </w:tcPr>
          <w:p>
            <w:pPr>
              <w:pStyle w:val="20"/>
            </w:pPr>
            <w:r>
              <w:t>1613.31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1613.31</w:t>
            </w:r>
          </w:p>
        </w:tc>
        <w:tc>
          <w:tcPr>
            <w:tcW w:w="4535" w:type="dxa"/>
            <w:vAlign w:val="center"/>
          </w:tcPr>
          <w:p>
            <w:pPr>
              <w:pStyle w:val="19"/>
            </w:pPr>
            <w:r>
              <w:t>支出总计</w:t>
            </w:r>
          </w:p>
        </w:tc>
        <w:tc>
          <w:tcPr>
            <w:tcW w:w="2126" w:type="dxa"/>
            <w:vAlign w:val="center"/>
          </w:tcPr>
          <w:p>
            <w:pPr>
              <w:pStyle w:val="20"/>
            </w:pPr>
            <w:r>
              <w:t>1613.31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459001廊坊市第十二小学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1613.31</w:t>
            </w:r>
          </w:p>
        </w:tc>
        <w:tc>
          <w:tcPr>
            <w:tcW w:w="1134" w:type="dxa"/>
            <w:vAlign w:val="center"/>
          </w:tcPr>
          <w:p>
            <w:pPr>
              <w:pStyle w:val="20"/>
            </w:pPr>
            <w:r>
              <w:t>1613.31</w:t>
            </w:r>
          </w:p>
        </w:tc>
        <w:tc>
          <w:tcPr>
            <w:tcW w:w="1134" w:type="dxa"/>
            <w:vAlign w:val="center"/>
          </w:tcPr>
          <w:p>
            <w:pPr>
              <w:pStyle w:val="20"/>
            </w:pPr>
            <w:r>
              <w:t>1613.31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459001廊坊市第十二小学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1613.31</w:t>
            </w:r>
          </w:p>
        </w:tc>
        <w:tc>
          <w:tcPr>
            <w:tcW w:w="1361" w:type="dxa"/>
            <w:vAlign w:val="center"/>
          </w:tcPr>
          <w:p>
            <w:pPr>
              <w:pStyle w:val="20"/>
            </w:pPr>
            <w:r>
              <w:t>1596.17</w:t>
            </w:r>
          </w:p>
        </w:tc>
        <w:tc>
          <w:tcPr>
            <w:tcW w:w="1361" w:type="dxa"/>
            <w:vAlign w:val="center"/>
          </w:tcPr>
          <w:p>
            <w:pPr>
              <w:pStyle w:val="20"/>
            </w:pPr>
            <w:r>
              <w:t>17.14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1613.31</w:t>
            </w:r>
          </w:p>
        </w:tc>
        <w:tc>
          <w:tcPr>
            <w:tcW w:w="1361" w:type="dxa"/>
            <w:vAlign w:val="center"/>
          </w:tcPr>
          <w:p>
            <w:pPr>
              <w:pStyle w:val="16"/>
            </w:pPr>
            <w:r>
              <w:t>1596.17</w:t>
            </w:r>
          </w:p>
        </w:tc>
        <w:tc>
          <w:tcPr>
            <w:tcW w:w="1361" w:type="dxa"/>
            <w:vAlign w:val="center"/>
          </w:tcPr>
          <w:p>
            <w:pPr>
              <w:pStyle w:val="16"/>
            </w:pPr>
            <w:r>
              <w:t>17.14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1613.31</w:t>
            </w:r>
          </w:p>
        </w:tc>
        <w:tc>
          <w:tcPr>
            <w:tcW w:w="1361" w:type="dxa"/>
            <w:vAlign w:val="center"/>
          </w:tcPr>
          <w:p>
            <w:pPr>
              <w:pStyle w:val="16"/>
            </w:pPr>
            <w:r>
              <w:t>1596.17</w:t>
            </w:r>
          </w:p>
        </w:tc>
        <w:tc>
          <w:tcPr>
            <w:tcW w:w="1361" w:type="dxa"/>
            <w:vAlign w:val="center"/>
          </w:tcPr>
          <w:p>
            <w:pPr>
              <w:pStyle w:val="16"/>
            </w:pPr>
            <w:r>
              <w:t>17.14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1613.31</w:t>
            </w:r>
          </w:p>
        </w:tc>
        <w:tc>
          <w:tcPr>
            <w:tcW w:w="1361" w:type="dxa"/>
            <w:vAlign w:val="center"/>
          </w:tcPr>
          <w:p>
            <w:pPr>
              <w:pStyle w:val="16"/>
            </w:pPr>
            <w:r>
              <w:t>1596.17</w:t>
            </w:r>
          </w:p>
        </w:tc>
        <w:tc>
          <w:tcPr>
            <w:tcW w:w="1361" w:type="dxa"/>
            <w:vAlign w:val="center"/>
          </w:tcPr>
          <w:p>
            <w:pPr>
              <w:pStyle w:val="16"/>
            </w:pPr>
            <w:r>
              <w:t>17.14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459001廊坊市第十二小学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1613.31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1613.31</w:t>
            </w:r>
          </w:p>
        </w:tc>
        <w:tc>
          <w:tcPr>
            <w:tcW w:w="1474" w:type="dxa"/>
            <w:vAlign w:val="center"/>
          </w:tcPr>
          <w:p>
            <w:pPr>
              <w:pStyle w:val="16"/>
            </w:pPr>
            <w:r>
              <w:t>1613.31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1613.31</w:t>
            </w:r>
          </w:p>
        </w:tc>
        <w:tc>
          <w:tcPr>
            <w:tcW w:w="3402" w:type="dxa"/>
            <w:vAlign w:val="center"/>
          </w:tcPr>
          <w:p>
            <w:pPr>
              <w:pStyle w:val="19"/>
            </w:pPr>
            <w:r>
              <w:t>本年支出合计</w:t>
            </w:r>
          </w:p>
        </w:tc>
        <w:tc>
          <w:tcPr>
            <w:tcW w:w="1474" w:type="dxa"/>
            <w:vAlign w:val="center"/>
          </w:tcPr>
          <w:p>
            <w:pPr>
              <w:pStyle w:val="20"/>
            </w:pPr>
            <w:r>
              <w:t>1613.31</w:t>
            </w:r>
          </w:p>
        </w:tc>
        <w:tc>
          <w:tcPr>
            <w:tcW w:w="1474" w:type="dxa"/>
            <w:vAlign w:val="center"/>
          </w:tcPr>
          <w:p>
            <w:pPr>
              <w:pStyle w:val="20"/>
            </w:pPr>
            <w:r>
              <w:t>1613.31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1613.31</w:t>
            </w:r>
          </w:p>
        </w:tc>
        <w:tc>
          <w:tcPr>
            <w:tcW w:w="3402" w:type="dxa"/>
            <w:vAlign w:val="center"/>
          </w:tcPr>
          <w:p>
            <w:pPr>
              <w:pStyle w:val="19"/>
            </w:pPr>
            <w:r>
              <w:t>支出总计</w:t>
            </w:r>
          </w:p>
        </w:tc>
        <w:tc>
          <w:tcPr>
            <w:tcW w:w="1474" w:type="dxa"/>
            <w:vAlign w:val="center"/>
          </w:tcPr>
          <w:p>
            <w:pPr>
              <w:pStyle w:val="20"/>
            </w:pPr>
            <w:r>
              <w:t>1613.31</w:t>
            </w:r>
          </w:p>
        </w:tc>
        <w:tc>
          <w:tcPr>
            <w:tcW w:w="1474" w:type="dxa"/>
            <w:vAlign w:val="center"/>
          </w:tcPr>
          <w:p>
            <w:pPr>
              <w:pStyle w:val="20"/>
            </w:pPr>
            <w:r>
              <w:t>1613.31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459001廊坊市第十二小学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1613.31</w:t>
            </w:r>
          </w:p>
        </w:tc>
        <w:tc>
          <w:tcPr>
            <w:tcW w:w="2551" w:type="dxa"/>
            <w:vAlign w:val="center"/>
          </w:tcPr>
          <w:p>
            <w:pPr>
              <w:pStyle w:val="20"/>
            </w:pPr>
            <w:r>
              <w:t>1596.17</w:t>
            </w:r>
          </w:p>
        </w:tc>
        <w:tc>
          <w:tcPr>
            <w:tcW w:w="2551" w:type="dxa"/>
            <w:vAlign w:val="center"/>
          </w:tcPr>
          <w:p>
            <w:pPr>
              <w:pStyle w:val="20"/>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1613.31</w:t>
            </w:r>
          </w:p>
        </w:tc>
        <w:tc>
          <w:tcPr>
            <w:tcW w:w="2551" w:type="dxa"/>
            <w:vAlign w:val="center"/>
          </w:tcPr>
          <w:p>
            <w:pPr>
              <w:pStyle w:val="16"/>
            </w:pPr>
            <w:r>
              <w:t>1596.17</w:t>
            </w:r>
          </w:p>
        </w:tc>
        <w:tc>
          <w:tcPr>
            <w:tcW w:w="2551" w:type="dxa"/>
            <w:vAlign w:val="center"/>
          </w:tcPr>
          <w:p>
            <w:pPr>
              <w:pStyle w:val="16"/>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1613.31</w:t>
            </w:r>
          </w:p>
        </w:tc>
        <w:tc>
          <w:tcPr>
            <w:tcW w:w="2551" w:type="dxa"/>
            <w:vAlign w:val="center"/>
          </w:tcPr>
          <w:p>
            <w:pPr>
              <w:pStyle w:val="16"/>
            </w:pPr>
            <w:r>
              <w:t>1596.17</w:t>
            </w:r>
          </w:p>
        </w:tc>
        <w:tc>
          <w:tcPr>
            <w:tcW w:w="2551" w:type="dxa"/>
            <w:vAlign w:val="center"/>
          </w:tcPr>
          <w:p>
            <w:pPr>
              <w:pStyle w:val="16"/>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1613.31</w:t>
            </w:r>
          </w:p>
        </w:tc>
        <w:tc>
          <w:tcPr>
            <w:tcW w:w="2551" w:type="dxa"/>
            <w:vAlign w:val="center"/>
          </w:tcPr>
          <w:p>
            <w:pPr>
              <w:pStyle w:val="16"/>
            </w:pPr>
            <w:r>
              <w:t>1596.17</w:t>
            </w:r>
          </w:p>
        </w:tc>
        <w:tc>
          <w:tcPr>
            <w:tcW w:w="2551" w:type="dxa"/>
            <w:vAlign w:val="center"/>
          </w:tcPr>
          <w:p>
            <w:pPr>
              <w:pStyle w:val="16"/>
            </w:pPr>
            <w:r>
              <w:t>17.14</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459001廊坊市第十二小学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1596.17</w:t>
            </w:r>
          </w:p>
        </w:tc>
        <w:tc>
          <w:tcPr>
            <w:tcW w:w="2551" w:type="dxa"/>
            <w:vAlign w:val="center"/>
          </w:tcPr>
          <w:p>
            <w:pPr>
              <w:pStyle w:val="20"/>
            </w:pPr>
            <w:r>
              <w:t>1588.08</w:t>
            </w:r>
          </w:p>
        </w:tc>
        <w:tc>
          <w:tcPr>
            <w:tcW w:w="2551" w:type="dxa"/>
            <w:vAlign w:val="center"/>
          </w:tcPr>
          <w:p>
            <w:pPr>
              <w:pStyle w:val="20"/>
            </w:pPr>
            <w: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1483.03</w:t>
            </w:r>
          </w:p>
        </w:tc>
        <w:tc>
          <w:tcPr>
            <w:tcW w:w="2551" w:type="dxa"/>
            <w:vAlign w:val="center"/>
          </w:tcPr>
          <w:p>
            <w:pPr>
              <w:pStyle w:val="16"/>
            </w:pPr>
            <w:r>
              <w:t>1483.03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423.46</w:t>
            </w:r>
          </w:p>
        </w:tc>
        <w:tc>
          <w:tcPr>
            <w:tcW w:w="2551" w:type="dxa"/>
            <w:vAlign w:val="center"/>
          </w:tcPr>
          <w:p>
            <w:pPr>
              <w:pStyle w:val="16"/>
            </w:pPr>
            <w:r>
              <w:t>423.46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160.60</w:t>
            </w:r>
          </w:p>
        </w:tc>
        <w:tc>
          <w:tcPr>
            <w:tcW w:w="2551" w:type="dxa"/>
            <w:vAlign w:val="center"/>
          </w:tcPr>
          <w:p>
            <w:pPr>
              <w:pStyle w:val="16"/>
            </w:pPr>
            <w:r>
              <w:t>160.60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266.93</w:t>
            </w:r>
          </w:p>
        </w:tc>
        <w:tc>
          <w:tcPr>
            <w:tcW w:w="2551" w:type="dxa"/>
            <w:vAlign w:val="center"/>
          </w:tcPr>
          <w:p>
            <w:pPr>
              <w:pStyle w:val="16"/>
            </w:pPr>
            <w:r>
              <w:t>266.93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320.14</w:t>
            </w:r>
          </w:p>
        </w:tc>
        <w:tc>
          <w:tcPr>
            <w:tcW w:w="2551" w:type="dxa"/>
            <w:vAlign w:val="center"/>
          </w:tcPr>
          <w:p>
            <w:pPr>
              <w:pStyle w:val="16"/>
            </w:pPr>
            <w:r>
              <w:t>320.14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141.88</w:t>
            </w:r>
          </w:p>
        </w:tc>
        <w:tc>
          <w:tcPr>
            <w:tcW w:w="2551" w:type="dxa"/>
            <w:vAlign w:val="center"/>
          </w:tcPr>
          <w:p>
            <w:pPr>
              <w:pStyle w:val="16"/>
            </w:pPr>
            <w:r>
              <w:t>141.88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45.43</w:t>
            </w:r>
          </w:p>
        </w:tc>
        <w:tc>
          <w:tcPr>
            <w:tcW w:w="2551" w:type="dxa"/>
            <w:vAlign w:val="center"/>
          </w:tcPr>
          <w:p>
            <w:pPr>
              <w:pStyle w:val="16"/>
            </w:pPr>
            <w:r>
              <w:t>45.43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4.54</w:t>
            </w:r>
          </w:p>
        </w:tc>
        <w:tc>
          <w:tcPr>
            <w:tcW w:w="2551" w:type="dxa"/>
            <w:vAlign w:val="center"/>
          </w:tcPr>
          <w:p>
            <w:pPr>
              <w:pStyle w:val="16"/>
            </w:pPr>
            <w:r>
              <w:t>4.54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117.25</w:t>
            </w:r>
          </w:p>
        </w:tc>
        <w:tc>
          <w:tcPr>
            <w:tcW w:w="2551" w:type="dxa"/>
            <w:vAlign w:val="center"/>
          </w:tcPr>
          <w:p>
            <w:pPr>
              <w:pStyle w:val="16"/>
            </w:pPr>
            <w:r>
              <w:t>117.25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2.81</w:t>
            </w:r>
          </w:p>
        </w:tc>
        <w:tc>
          <w:tcPr>
            <w:tcW w:w="2551" w:type="dxa"/>
            <w:vAlign w:val="center"/>
          </w:tcPr>
          <w:p>
            <w:pPr>
              <w:pStyle w:val="16"/>
            </w:pPr>
            <w:r>
              <w:t>2.81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8.09</w:t>
            </w:r>
          </w:p>
        </w:tc>
        <w:tc>
          <w:tcPr>
            <w:tcW w:w="2551" w:type="dxa"/>
            <w:vAlign w:val="center"/>
          </w:tcPr>
          <w:p>
            <w:pPr>
              <w:pStyle w:val="16"/>
            </w:pPr>
          </w:p>
        </w:tc>
        <w:tc>
          <w:tcPr>
            <w:tcW w:w="2551" w:type="dxa"/>
            <w:vAlign w:val="center"/>
          </w:tcPr>
          <w:p>
            <w:pPr>
              <w:pStyle w:val="16"/>
            </w:pPr>
            <w: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4.05</w:t>
            </w:r>
          </w:p>
        </w:tc>
        <w:tc>
          <w:tcPr>
            <w:tcW w:w="2551" w:type="dxa"/>
            <w:vAlign w:val="center"/>
          </w:tcPr>
          <w:p>
            <w:pPr>
              <w:pStyle w:val="16"/>
            </w:pPr>
          </w:p>
        </w:tc>
        <w:tc>
          <w:tcPr>
            <w:tcW w:w="2551" w:type="dxa"/>
            <w:vAlign w:val="center"/>
          </w:tcPr>
          <w:p>
            <w:pPr>
              <w:pStyle w:val="16"/>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4.04</w:t>
            </w:r>
          </w:p>
        </w:tc>
        <w:tc>
          <w:tcPr>
            <w:tcW w:w="2551" w:type="dxa"/>
            <w:vAlign w:val="center"/>
          </w:tcPr>
          <w:p>
            <w:pPr>
              <w:pStyle w:val="16"/>
            </w:pPr>
          </w:p>
        </w:tc>
        <w:tc>
          <w:tcPr>
            <w:tcW w:w="2551" w:type="dxa"/>
            <w:vAlign w:val="center"/>
          </w:tcPr>
          <w:p>
            <w:pPr>
              <w:pStyle w:val="16"/>
            </w:pPr>
            <w: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105.05</w:t>
            </w:r>
          </w:p>
        </w:tc>
        <w:tc>
          <w:tcPr>
            <w:tcW w:w="2551" w:type="dxa"/>
            <w:vAlign w:val="center"/>
          </w:tcPr>
          <w:p>
            <w:pPr>
              <w:pStyle w:val="16"/>
            </w:pPr>
            <w:r>
              <w:t>105.05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104.56</w:t>
            </w:r>
          </w:p>
        </w:tc>
        <w:tc>
          <w:tcPr>
            <w:tcW w:w="2551" w:type="dxa"/>
            <w:vAlign w:val="center"/>
          </w:tcPr>
          <w:p>
            <w:pPr>
              <w:pStyle w:val="16"/>
            </w:pPr>
            <w:r>
              <w:t>104.56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0.41</w:t>
            </w:r>
          </w:p>
        </w:tc>
        <w:tc>
          <w:tcPr>
            <w:tcW w:w="2551" w:type="dxa"/>
            <w:vAlign w:val="center"/>
          </w:tcPr>
          <w:p>
            <w:pPr>
              <w:pStyle w:val="16"/>
            </w:pPr>
            <w:r>
              <w:t>0.41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459001廊坊市第十二小学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459001廊坊市第十二小学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459001廊坊市第十二小学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廊坊市第十二小学2023年单位预算信息公开情况说明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预算法》、《地方预决算公开操作规程》和《关于进一步推进预算公开工作的实施意见》规定，现将廊坊市第十二小学2023年单位预算公开如下：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（一）正确贯彻执行党和国家的教育方针、政策、法规。</w:t>
      </w:r>
    </w:p>
    <w:p>
      <w:pPr>
        <w:pStyle w:val="30"/>
      </w:pPr>
      <w:r>
        <w:t>（二）维护学校的教学秩序，为学生创造良好的学习环境。</w:t>
      </w:r>
    </w:p>
    <w:p>
      <w:pPr>
        <w:pStyle w:val="30"/>
      </w:pPr>
      <w:r>
        <w:t>（三）积极稳妥地推进教育改革，按教育规律办事，不断提高教育质量。</w:t>
      </w:r>
    </w:p>
    <w:p>
      <w:pPr>
        <w:pStyle w:val="30"/>
      </w:pPr>
      <w:r>
        <w:t>（四）根据学校规模，设置学校管理机构，建立健全各项规章制度和岗位责任制。</w:t>
      </w:r>
    </w:p>
    <w:p>
      <w:pPr>
        <w:pStyle w:val="30"/>
      </w:pPr>
      <w:r>
        <w:t xml:space="preserve">（五）坚持教书育人，服务育人，环境育人方针，加强对学生的思想品德教育，使学生的德智体全面发展。            </w:t>
      </w:r>
    </w:p>
    <w:p>
      <w:pPr>
        <w:pStyle w:val="30"/>
      </w:pPr>
      <w:r>
        <w:t>（六）抓好教师队伍建设，使每个教师都热心于教育事业。</w:t>
      </w:r>
    </w:p>
    <w:p>
      <w:pPr>
        <w:pStyle w:val="30"/>
      </w:pPr>
      <w:r>
        <w:t>（七）做好安全防范，保证学生的</w:t>
      </w:r>
      <w:r>
        <w:rPr>
          <w:rFonts w:hint="eastAsia"/>
          <w:lang w:eastAsia="zh-CN"/>
        </w:rPr>
        <w:t>人身安全</w:t>
      </w:r>
      <w: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廊坊市第十二小学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反映本单位当年全部收入。2023年预算收入1613.31万元，其中：一般公共预算收入1613.31万元，基金预算收入0万元，财政专户核拨收入0万元，其他来源收入0万元，上年结转0万元。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d20第十二小学2023年度单位预算中支出预算的总体情况。2023年支出预算1613.31万元，其中：基本支出1596.17万元，包括人员经费1588.08万元和日常公用经费8.09万元；项目支出17.14万元，全部为本级支出，主要为非公办在职教师经费、义务教育学校生均公用经费资金[区级]等项目。</w:t>
      </w:r>
    </w:p>
    <w:p>
      <w:pPr>
        <w:pStyle w:val="31"/>
      </w:pPr>
      <w:r>
        <w:t>3、比上年增减情况</w:t>
      </w:r>
    </w:p>
    <w:p>
      <w:pPr>
        <w:pStyle w:val="31"/>
      </w:pPr>
      <w:r>
        <w:t>2023年预算收支安排1613.31万元，较2022年预算增加208.16万元，其中：基本支出增加950.08万元，增加原因主要为人员经费支出增加；项目支出减少741.92万元，减少原因主要为减少合同制教师人员经费、消防设施维修改造质保金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2023年，我单位运行经费共计安排8.09万元，主要用于办公区的日常维修、办公费用、办公用房水电费、办公用房取暖费、邮电费、差旅费、办公用房物业管理费、公务用车运行维护费等日常运行支出。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廊坊市第十二小学坚持执行党和国家的教育方针、政策、法规，维护学校的教学秩序，为学生创造良好的学习环境；积极稳妥地推进教育改革，按教育规律办事，不断提高教育质量，建立健全各项规章制度和岗位责任制；通过完善我校教育基础设施，推进学校建设，改善师生学习环境；加强教师队伍建设，提高教师专业素质、学生综合素质、学生学习效率，提升教育教学水平；坚持教书育人，服务育人，环境育人方针，加强对学生的思想品德教育，使学生的德智体全面发展；抓好教师队伍建设，使每个教师都热心于教育事业，做好安全防范，保证学生的人身安全。。</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1、完善制度建设</w:t>
      </w:r>
    </w:p>
    <w:p>
      <w:pPr>
        <w:pStyle w:val="28"/>
      </w:pPr>
      <w:r>
        <w:t>完善工作制度，制定完善预算绩效管理制度、资金管理办法等，为全年预算绩效目标的实现奠定坚实的基础。</w:t>
      </w:r>
    </w:p>
    <w:p>
      <w:pPr>
        <w:pStyle w:val="28"/>
      </w:pPr>
      <w:r>
        <w:t>2、加强绩效运行监控</w:t>
      </w:r>
    </w:p>
    <w:p>
      <w:pPr>
        <w:pStyle w:val="28"/>
      </w:pPr>
      <w:r>
        <w:t>按要求开展绩效运行监控，发现问题及时采取措施，确保绩效目标如期保质实现。</w:t>
      </w:r>
    </w:p>
    <w:p>
      <w:pPr>
        <w:pStyle w:val="28"/>
      </w:pPr>
      <w:r>
        <w:t>3、做好绩效自评</w:t>
      </w:r>
    </w:p>
    <w:p>
      <w:pPr>
        <w:pStyle w:val="28"/>
      </w:pPr>
      <w:r>
        <w:t>按要求做好预算绩效自评工作，加强对重点预算项目的自评工作，通过对评价中发现的问题进行整改，提高财政资金使用效益。</w:t>
      </w:r>
    </w:p>
    <w:p>
      <w:pPr>
        <w:pStyle w:val="28"/>
      </w:pPr>
      <w:r>
        <w:t>4、规范财务资产管理</w:t>
      </w:r>
    </w:p>
    <w:p>
      <w:pPr>
        <w:pStyle w:val="28"/>
      </w:pPr>
      <w:r>
        <w:t>进一步完善财务管理制度，严格审批程序，规范审批流程，加强固定资产登记、使用和报废处置管理，做到支出合理，物尽其用。</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992"/>
        <w:gridCol w:w="1843"/>
        <w:gridCol w:w="5387"/>
        <w:gridCol w:w="2693"/>
        <w:gridCol w:w="567"/>
        <w:gridCol w:w="425"/>
        <w:gridCol w:w="1134"/>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99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84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538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69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w:t>
            </w:r>
          </w:p>
          <w:p>
            <w:pPr>
              <w:jc w:val="center"/>
              <w:rPr>
                <w:rFonts w:ascii="方正书宋_GBK" w:eastAsia="方正书宋_GBK"/>
                <w:b/>
                <w:bCs/>
                <w:color w:val="000000"/>
              </w:rPr>
            </w:pPr>
            <w:r>
              <w:rPr>
                <w:rFonts w:hint="eastAsia" w:ascii="方正书宋_GBK" w:eastAsia="方正书宋_GBK"/>
                <w:b/>
                <w:bCs/>
                <w:color w:val="000000"/>
              </w:rPr>
              <w:t>描述</w:t>
            </w:r>
          </w:p>
        </w:tc>
        <w:tc>
          <w:tcPr>
            <w:tcW w:w="212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99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843"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538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693"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42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992" w:type="dxa"/>
            <w:vMerge w:val="restart"/>
            <w:shd w:val="clear" w:color="auto" w:fill="auto"/>
            <w:tcMar>
              <w:top w:w="15" w:type="dxa"/>
              <w:left w:w="15" w:type="dxa"/>
              <w:bottom w:w="0" w:type="dxa"/>
              <w:right w:w="15" w:type="dxa"/>
            </w:tcMar>
            <w:vAlign w:val="center"/>
          </w:tcPr>
          <w:p>
            <w:pPr>
              <w:rPr>
                <w:rFonts w:ascii="方正书宋_GBK" w:eastAsia="方正书宋_GBK"/>
                <w:color w:val="000000"/>
              </w:rPr>
            </w:pPr>
            <w:r>
              <w:rPr>
                <w:rFonts w:hint="eastAsia" w:ascii="方正书宋_GBK" w:eastAsia="方正书宋_GBK"/>
                <w:color w:val="000000"/>
              </w:rPr>
              <w:t>数量</w:t>
            </w:r>
          </w:p>
        </w:tc>
        <w:tc>
          <w:tcPr>
            <w:tcW w:w="1843"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小学生毕业生合格率</w:t>
            </w:r>
          </w:p>
        </w:tc>
        <w:tc>
          <w:tcPr>
            <w:tcW w:w="5387"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20</w:t>
            </w:r>
            <w:r>
              <w:rPr>
                <w:rFonts w:hint="eastAsia" w:ascii="宋体" w:hAnsi="宋体" w:eastAsia="宋体" w:cs="宋体"/>
                <w:color w:val="000000"/>
                <w:sz w:val="22"/>
                <w:szCs w:val="22"/>
              </w:rPr>
              <w:t>分毕业生合格率</w:t>
            </w:r>
            <w:r>
              <w:rPr>
                <w:color w:val="000000"/>
                <w:sz w:val="22"/>
                <w:szCs w:val="22"/>
              </w:rPr>
              <w:t>100%</w:t>
            </w:r>
            <w:r>
              <w:rPr>
                <w:rFonts w:hint="eastAsia" w:ascii="宋体" w:hAnsi="宋体" w:eastAsia="宋体" w:cs="宋体"/>
                <w:color w:val="000000"/>
                <w:sz w:val="22"/>
                <w:szCs w:val="22"/>
              </w:rPr>
              <w:t>得满分，否则不得分</w:t>
            </w:r>
          </w:p>
        </w:tc>
        <w:tc>
          <w:tcPr>
            <w:tcW w:w="2693" w:type="dxa"/>
            <w:vMerge w:val="restar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小学生毕业生合格率</w:t>
            </w:r>
          </w:p>
        </w:tc>
        <w:tc>
          <w:tcPr>
            <w:tcW w:w="567"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100</w:t>
            </w:r>
          </w:p>
        </w:tc>
        <w:tc>
          <w:tcPr>
            <w:tcW w:w="113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ascii="方正书宋_GBK" w:hAnsi="宋体" w:eastAsia="方正书宋_GBK" w:cs="宋体"/>
                <w:color w:val="000000"/>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restart"/>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数量</w:t>
            </w:r>
          </w:p>
        </w:tc>
        <w:tc>
          <w:tcPr>
            <w:tcW w:w="1843"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重点工作实际完成率</w:t>
            </w:r>
          </w:p>
        </w:tc>
        <w:tc>
          <w:tcPr>
            <w:tcW w:w="5387"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分不低于</w:t>
            </w:r>
            <w:r>
              <w:rPr>
                <w:color w:val="000000"/>
                <w:sz w:val="22"/>
                <w:szCs w:val="22"/>
              </w:rPr>
              <w:t>95%</w:t>
            </w:r>
            <w:r>
              <w:rPr>
                <w:rFonts w:hint="eastAsia" w:ascii="宋体" w:hAnsi="宋体" w:eastAsia="宋体" w:cs="宋体"/>
                <w:color w:val="000000"/>
                <w:sz w:val="22"/>
                <w:szCs w:val="22"/>
              </w:rPr>
              <w:t>得满分，否则不得分</w:t>
            </w:r>
            <w:r>
              <w:rPr>
                <w:color w:val="000000"/>
                <w:sz w:val="22"/>
                <w:szCs w:val="22"/>
              </w:rPr>
              <w:t>5</w:t>
            </w: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693"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重点工作实际完成率</w:t>
            </w:r>
          </w:p>
        </w:tc>
        <w:tc>
          <w:tcPr>
            <w:tcW w:w="567"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3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实际工作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ascii="方正书宋_GBK" w:hAnsi="宋体" w:eastAsia="方正书宋_GBK" w:cs="宋体"/>
                <w:color w:val="000000"/>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restart"/>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时效</w:t>
            </w:r>
          </w:p>
        </w:tc>
        <w:tc>
          <w:tcPr>
            <w:tcW w:w="1843"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学校的各项工作任务及时完成情况</w:t>
            </w:r>
          </w:p>
        </w:tc>
        <w:tc>
          <w:tcPr>
            <w:tcW w:w="5387"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分及时完成得满分，否则不得分</w:t>
            </w:r>
          </w:p>
        </w:tc>
        <w:tc>
          <w:tcPr>
            <w:tcW w:w="2693"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学校的各项工作任务及时完成情况</w:t>
            </w:r>
          </w:p>
        </w:tc>
        <w:tc>
          <w:tcPr>
            <w:tcW w:w="567"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425" w:type="dxa"/>
            <w:vMerge w:val="restart"/>
            <w:shd w:val="clear" w:color="auto" w:fill="auto"/>
            <w:tcMar>
              <w:top w:w="15" w:type="dxa"/>
              <w:left w:w="15" w:type="dxa"/>
              <w:bottom w:w="0" w:type="dxa"/>
              <w:right w:w="15" w:type="dxa"/>
            </w:tcMar>
          </w:tcPr>
          <w:p>
            <w:pPr>
              <w:rPr>
                <w:color w:val="000000"/>
                <w:sz w:val="22"/>
                <w:szCs w:val="22"/>
              </w:rPr>
            </w:pPr>
          </w:p>
        </w:tc>
        <w:tc>
          <w:tcPr>
            <w:tcW w:w="1134"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及时</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ascii="方正书宋_GBK" w:hAnsi="宋体" w:eastAsia="方正书宋_GBK" w:cs="宋体"/>
                <w:color w:val="000000"/>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restart"/>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成本</w:t>
            </w:r>
          </w:p>
        </w:tc>
        <w:tc>
          <w:tcPr>
            <w:tcW w:w="1843"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教育经费使用控制率</w:t>
            </w:r>
          </w:p>
        </w:tc>
        <w:tc>
          <w:tcPr>
            <w:tcW w:w="5387"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分教育经费决算数不大于调整预算数得满分，否则不得分</w:t>
            </w:r>
          </w:p>
        </w:tc>
        <w:tc>
          <w:tcPr>
            <w:tcW w:w="2693"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支出的公用经费总额与预算安排的比率</w:t>
            </w:r>
          </w:p>
        </w:tc>
        <w:tc>
          <w:tcPr>
            <w:tcW w:w="567" w:type="dxa"/>
            <w:vMerge w:val="restart"/>
            <w:shd w:val="clear" w:color="auto" w:fill="auto"/>
            <w:tcMar>
              <w:top w:w="15" w:type="dxa"/>
              <w:left w:w="15" w:type="dxa"/>
              <w:bottom w:w="0" w:type="dxa"/>
              <w:right w:w="15" w:type="dxa"/>
            </w:tcMar>
          </w:tcPr>
          <w:p>
            <w:pPr>
              <w:jc w:val="center"/>
              <w:rPr>
                <w:color w:val="000000"/>
                <w:sz w:val="22"/>
                <w:szCs w:val="22"/>
              </w:rPr>
            </w:pPr>
            <w:r>
              <w:rPr>
                <w:rFonts w:hint="eastAsia" w:ascii="宋体" w:hAnsi="宋体" w:eastAsia="宋体" w:cs="宋体"/>
                <w:color w:val="000000"/>
                <w:sz w:val="22"/>
                <w:szCs w:val="22"/>
              </w:rPr>
              <w:t>文字描述</w:t>
            </w:r>
          </w:p>
        </w:tc>
        <w:tc>
          <w:tcPr>
            <w:tcW w:w="425" w:type="dxa"/>
            <w:vMerge w:val="restart"/>
            <w:shd w:val="clear" w:color="auto" w:fill="auto"/>
            <w:tcMar>
              <w:top w:w="15" w:type="dxa"/>
              <w:left w:w="15" w:type="dxa"/>
              <w:bottom w:w="0" w:type="dxa"/>
              <w:right w:w="15" w:type="dxa"/>
            </w:tcMar>
          </w:tcPr>
          <w:p>
            <w:pPr>
              <w:jc w:val="center"/>
              <w:rPr>
                <w:color w:val="000000"/>
                <w:sz w:val="22"/>
                <w:szCs w:val="22"/>
              </w:rPr>
            </w:pPr>
          </w:p>
        </w:tc>
        <w:tc>
          <w:tcPr>
            <w:tcW w:w="1134" w:type="dxa"/>
            <w:vMerge w:val="restart"/>
            <w:shd w:val="clear" w:color="auto" w:fill="auto"/>
            <w:tcMar>
              <w:top w:w="15" w:type="dxa"/>
              <w:left w:w="15" w:type="dxa"/>
              <w:bottom w:w="0" w:type="dxa"/>
              <w:right w:w="15" w:type="dxa"/>
            </w:tcMar>
          </w:tcPr>
          <w:p>
            <w:pPr>
              <w:jc w:val="center"/>
              <w:rPr>
                <w:rFonts w:eastAsia="宋体"/>
                <w:color w:val="000000"/>
                <w:sz w:val="22"/>
                <w:szCs w:val="22"/>
              </w:rPr>
            </w:pPr>
            <w:r>
              <w:rPr>
                <w:rFonts w:hint="eastAsia" w:ascii="宋体" w:hAnsi="宋体" w:eastAsia="宋体" w:cs="宋体"/>
                <w:color w:val="000000"/>
                <w:sz w:val="22"/>
                <w:szCs w:val="22"/>
              </w:rPr>
              <w:t>教育经费决算数不大于调整预算数</w:t>
            </w:r>
          </w:p>
        </w:tc>
        <w:tc>
          <w:tcPr>
            <w:tcW w:w="1065" w:type="dxa"/>
            <w:vMerge w:val="restart"/>
            <w:shd w:val="clear" w:color="auto" w:fill="auto"/>
            <w:tcMar>
              <w:top w:w="15" w:type="dxa"/>
              <w:left w:w="15" w:type="dxa"/>
              <w:bottom w:w="0" w:type="dxa"/>
              <w:right w:w="15" w:type="dxa"/>
            </w:tcMar>
          </w:tcPr>
          <w:p>
            <w:pPr>
              <w:jc w:val="center"/>
              <w:rPr>
                <w:color w:val="000000"/>
                <w:sz w:val="22"/>
                <w:szCs w:val="22"/>
              </w:rPr>
            </w:pPr>
            <w:r>
              <w:rPr>
                <w:rFonts w:hint="eastAsia" w:ascii="宋体" w:hAnsi="宋体" w:eastAsia="宋体" w:cs="宋体"/>
                <w:color w:val="000000"/>
                <w:sz w:val="22"/>
                <w:szCs w:val="22"/>
              </w:rPr>
              <w:t>实际工作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ascii="方正书宋_GBK" w:hAnsi="宋体" w:eastAsia="方正书宋_GBK" w:cs="宋体"/>
                <w:color w:val="000000"/>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restart"/>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质量</w:t>
            </w:r>
          </w:p>
        </w:tc>
        <w:tc>
          <w:tcPr>
            <w:tcW w:w="1843"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采购物资、建设工程合格率</w:t>
            </w:r>
          </w:p>
        </w:tc>
        <w:tc>
          <w:tcPr>
            <w:tcW w:w="5387"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20</w:t>
            </w:r>
            <w:r>
              <w:rPr>
                <w:rFonts w:hint="eastAsia" w:ascii="宋体" w:hAnsi="宋体" w:eastAsia="宋体" w:cs="宋体"/>
                <w:color w:val="000000"/>
                <w:sz w:val="22"/>
                <w:szCs w:val="22"/>
              </w:rPr>
              <w:t>分合格率</w:t>
            </w:r>
            <w:r>
              <w:rPr>
                <w:color w:val="000000"/>
                <w:sz w:val="22"/>
                <w:szCs w:val="22"/>
              </w:rPr>
              <w:t>100%</w:t>
            </w:r>
            <w:r>
              <w:rPr>
                <w:rFonts w:hint="eastAsia" w:ascii="宋体" w:hAnsi="宋体" w:eastAsia="宋体" w:cs="宋体"/>
                <w:color w:val="000000"/>
                <w:sz w:val="22"/>
                <w:szCs w:val="22"/>
              </w:rPr>
              <w:t>得满分，否则不得分</w:t>
            </w:r>
          </w:p>
        </w:tc>
        <w:tc>
          <w:tcPr>
            <w:tcW w:w="2693"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采购物资、建设工程合格率</w:t>
            </w:r>
          </w:p>
        </w:tc>
        <w:tc>
          <w:tcPr>
            <w:tcW w:w="567"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100</w:t>
            </w:r>
          </w:p>
        </w:tc>
        <w:tc>
          <w:tcPr>
            <w:tcW w:w="113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ascii="方正书宋_GBK" w:hAnsi="宋体" w:eastAsia="方正书宋_GBK" w:cs="宋体"/>
                <w:color w:val="000000"/>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rPr>
            </w:pPr>
            <w:r>
              <w:rPr>
                <w:rFonts w:hint="eastAsia" w:ascii="方正书宋_GBK" w:eastAsia="方正书宋_GBK"/>
                <w:color w:val="000000"/>
              </w:rPr>
              <w:t>社会</w:t>
            </w:r>
          </w:p>
          <w:p>
            <w:pPr>
              <w:rPr>
                <w:rFonts w:ascii="方正书宋_GBK" w:eastAsia="方正书宋_GBK"/>
                <w:color w:val="000000"/>
              </w:rPr>
            </w:pPr>
            <w:r>
              <w:rPr>
                <w:rFonts w:hint="eastAsia" w:ascii="方正书宋_GBK" w:eastAsia="方正书宋_GBK"/>
                <w:color w:val="000000"/>
              </w:rPr>
              <w:t>效益</w:t>
            </w:r>
          </w:p>
        </w:tc>
        <w:tc>
          <w:tcPr>
            <w:tcW w:w="1843"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义务教育高质量发展</w:t>
            </w:r>
          </w:p>
        </w:tc>
        <w:tc>
          <w:tcPr>
            <w:tcW w:w="5387"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分学生、家长、社会对学校整体满意度达到</w:t>
            </w:r>
            <w:r>
              <w:rPr>
                <w:color w:val="000000"/>
                <w:sz w:val="22"/>
                <w:szCs w:val="22"/>
              </w:rPr>
              <w:t>95%</w:t>
            </w:r>
            <w:r>
              <w:rPr>
                <w:rFonts w:hint="eastAsia" w:ascii="宋体" w:hAnsi="宋体" w:eastAsia="宋体" w:cs="宋体"/>
                <w:color w:val="000000"/>
                <w:sz w:val="22"/>
                <w:szCs w:val="22"/>
              </w:rPr>
              <w:t>得满分，每降低</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6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推动义务教育从数量扩张向质量提高转变</w:t>
            </w:r>
          </w:p>
        </w:tc>
        <w:tc>
          <w:tcPr>
            <w:tcW w:w="567"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部门职责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服务对象满意度指标</w:t>
            </w:r>
          </w:p>
        </w:tc>
        <w:tc>
          <w:tcPr>
            <w:tcW w:w="184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家长的满意程度</w:t>
            </w:r>
          </w:p>
        </w:tc>
        <w:tc>
          <w:tcPr>
            <w:tcW w:w="5387" w:type="dxa"/>
            <w:shd w:val="clear" w:color="auto" w:fill="auto"/>
            <w:tcMar>
              <w:top w:w="15" w:type="dxa"/>
              <w:left w:w="15" w:type="dxa"/>
              <w:bottom w:w="0" w:type="dxa"/>
              <w:right w:w="15" w:type="dxa"/>
            </w:tcMar>
          </w:tcPr>
          <w:p>
            <w:pPr>
              <w:rPr>
                <w:color w:val="000000"/>
                <w:sz w:val="22"/>
                <w:szCs w:val="22"/>
              </w:rPr>
            </w:pPr>
            <w:r>
              <w:rPr>
                <w:color w:val="000000"/>
                <w:sz w:val="22"/>
                <w:szCs w:val="22"/>
              </w:rPr>
              <w:t>10</w:t>
            </w:r>
            <w:r>
              <w:rPr>
                <w:rFonts w:hint="eastAsia" w:ascii="宋体" w:hAnsi="宋体" w:eastAsia="宋体" w:cs="宋体"/>
                <w:color w:val="000000"/>
                <w:sz w:val="22"/>
                <w:szCs w:val="22"/>
              </w:rPr>
              <w:t>分家长的满意度达到</w:t>
            </w:r>
            <w:r>
              <w:rPr>
                <w:color w:val="000000"/>
                <w:sz w:val="22"/>
                <w:szCs w:val="22"/>
              </w:rPr>
              <w:t>95%</w:t>
            </w:r>
            <w:r>
              <w:rPr>
                <w:rFonts w:hint="eastAsia" w:ascii="宋体" w:hAnsi="宋体" w:eastAsia="宋体" w:cs="宋体"/>
                <w:color w:val="000000"/>
                <w:sz w:val="22"/>
                <w:szCs w:val="22"/>
              </w:rPr>
              <w:t>得满分，每降低</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69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家长的满意程度</w:t>
            </w:r>
          </w:p>
        </w:tc>
        <w:tc>
          <w:tcPr>
            <w:tcW w:w="567"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restar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服务对象满意度指标</w:t>
            </w:r>
          </w:p>
        </w:tc>
        <w:tc>
          <w:tcPr>
            <w:tcW w:w="1843" w:type="dxa"/>
            <w:vMerge w:val="restart"/>
            <w:shd w:val="clear" w:color="auto" w:fill="auto"/>
            <w:noWrap/>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在校师生的满意程度</w:t>
            </w:r>
          </w:p>
        </w:tc>
        <w:tc>
          <w:tcPr>
            <w:tcW w:w="5387" w:type="dxa"/>
            <w:vMerge w:val="restart"/>
            <w:shd w:val="clear" w:color="auto" w:fill="auto"/>
            <w:noWrap/>
            <w:tcMar>
              <w:top w:w="15" w:type="dxa"/>
              <w:left w:w="15" w:type="dxa"/>
              <w:bottom w:w="0" w:type="dxa"/>
              <w:right w:w="15" w:type="dxa"/>
            </w:tcMar>
          </w:tcPr>
          <w:p>
            <w:pPr>
              <w:rPr>
                <w:color w:val="000000"/>
                <w:sz w:val="22"/>
                <w:szCs w:val="22"/>
              </w:rPr>
            </w:pPr>
            <w:r>
              <w:rPr>
                <w:color w:val="000000"/>
                <w:sz w:val="22"/>
                <w:szCs w:val="22"/>
              </w:rPr>
              <w:t>10</w:t>
            </w:r>
            <w:r>
              <w:rPr>
                <w:rFonts w:hint="eastAsia" w:ascii="宋体" w:hAnsi="宋体" w:eastAsia="宋体" w:cs="宋体"/>
                <w:color w:val="000000"/>
                <w:sz w:val="22"/>
                <w:szCs w:val="22"/>
              </w:rPr>
              <w:t>分在校师生的满意度达到</w:t>
            </w:r>
            <w:r>
              <w:rPr>
                <w:color w:val="000000"/>
                <w:sz w:val="22"/>
                <w:szCs w:val="22"/>
              </w:rPr>
              <w:t>95%</w:t>
            </w:r>
            <w:r>
              <w:rPr>
                <w:rFonts w:hint="eastAsia" w:ascii="宋体" w:hAnsi="宋体" w:eastAsia="宋体" w:cs="宋体"/>
                <w:color w:val="000000"/>
                <w:sz w:val="22"/>
                <w:szCs w:val="22"/>
              </w:rPr>
              <w:t>得满分，每降低</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693" w:type="dxa"/>
            <w:vMerge w:val="restart"/>
            <w:shd w:val="clear" w:color="auto" w:fill="auto"/>
            <w:noWrap/>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在校师生的满意程度</w:t>
            </w:r>
          </w:p>
        </w:tc>
        <w:tc>
          <w:tcPr>
            <w:tcW w:w="567"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3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eastAsia="宋体"/>
                <w:color w:val="000000"/>
                <w:sz w:val="22"/>
                <w:szCs w:val="22"/>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1.第十二小学在2023年通过每月份及时足额发放非公办在职教师工资福利待遇，达到消除信访隐患、解决非公办教师工资都有问题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1人</w:t>
            </w:r>
          </w:p>
        </w:tc>
        <w:tc>
          <w:tcPr>
            <w:tcW w:w="2268" w:type="dxa"/>
            <w:vAlign w:val="center"/>
          </w:tcPr>
          <w:p>
            <w:pPr>
              <w:pStyle w:val="17"/>
            </w:pPr>
            <w: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工资福利等发放人员范围的精准性和发放数据的准确性</w:t>
            </w:r>
          </w:p>
        </w:tc>
        <w:tc>
          <w:tcPr>
            <w:tcW w:w="2551" w:type="dxa"/>
            <w:vAlign w:val="center"/>
          </w:tcPr>
          <w:p>
            <w:pPr>
              <w:pStyle w:val="17"/>
            </w:pPr>
            <w:r>
              <w:t>100%</w:t>
            </w:r>
          </w:p>
        </w:tc>
        <w:tc>
          <w:tcPr>
            <w:tcW w:w="2268" w:type="dxa"/>
            <w:vAlign w:val="center"/>
          </w:tcPr>
          <w:p>
            <w:pPr>
              <w:pStyle w:val="17"/>
            </w:pPr>
            <w: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社会保障缴纳数据的准确性</w:t>
            </w:r>
          </w:p>
        </w:tc>
        <w:tc>
          <w:tcPr>
            <w:tcW w:w="2835" w:type="dxa"/>
            <w:vAlign w:val="center"/>
          </w:tcPr>
          <w:p>
            <w:pPr>
              <w:pStyle w:val="17"/>
            </w:pPr>
            <w:r>
              <w:t>社会保障缴纳数据的准确性</w:t>
            </w:r>
          </w:p>
        </w:tc>
        <w:tc>
          <w:tcPr>
            <w:tcW w:w="2551" w:type="dxa"/>
            <w:vAlign w:val="center"/>
          </w:tcPr>
          <w:p>
            <w:pPr>
              <w:pStyle w:val="17"/>
            </w:pPr>
            <w:r>
              <w:t>100%</w:t>
            </w:r>
          </w:p>
        </w:tc>
        <w:tc>
          <w:tcPr>
            <w:tcW w:w="2268" w:type="dxa"/>
            <w:vAlign w:val="center"/>
          </w:tcPr>
          <w:p>
            <w:pPr>
              <w:pStyle w:val="17"/>
            </w:pPr>
            <w: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工资福利等发放的时效情况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工资（福利）、社会保障发放（缴纳）标准</w:t>
            </w:r>
          </w:p>
        </w:tc>
        <w:tc>
          <w:tcPr>
            <w:tcW w:w="2835" w:type="dxa"/>
            <w:vAlign w:val="center"/>
          </w:tcPr>
          <w:p>
            <w:pPr>
              <w:pStyle w:val="17"/>
            </w:pPr>
            <w:r>
              <w:t>工资（福利）、社会保障发放（缴纳）标准</w:t>
            </w:r>
          </w:p>
        </w:tc>
        <w:tc>
          <w:tcPr>
            <w:tcW w:w="2551" w:type="dxa"/>
            <w:vAlign w:val="center"/>
          </w:tcPr>
          <w:p>
            <w:pPr>
              <w:pStyle w:val="17"/>
            </w:pPr>
            <w:r>
              <w:t>按规定发放</w:t>
            </w:r>
          </w:p>
        </w:tc>
        <w:tc>
          <w:tcPr>
            <w:tcW w:w="2268" w:type="dxa"/>
            <w:vAlign w:val="center"/>
          </w:tcPr>
          <w:p>
            <w:pPr>
              <w:pStyle w:val="17"/>
            </w:pPr>
            <w: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通过按时按标准发放工资福利等，进一步增强归属感，保持相对稳定</w:t>
            </w:r>
          </w:p>
        </w:tc>
        <w:tc>
          <w:tcPr>
            <w:tcW w:w="2551" w:type="dxa"/>
            <w:vAlign w:val="center"/>
          </w:tcPr>
          <w:p>
            <w:pPr>
              <w:pStyle w:val="17"/>
            </w:pPr>
            <w:r>
              <w:t>保持相对稳定</w:t>
            </w:r>
          </w:p>
        </w:tc>
        <w:tc>
          <w:tcPr>
            <w:tcW w:w="2268" w:type="dxa"/>
            <w:vAlign w:val="center"/>
          </w:tcPr>
          <w:p>
            <w:pPr>
              <w:pStyle w:val="17"/>
            </w:pPr>
            <w: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1.廊坊市第十二小学对2023年在校学生1853人，按照义务教育生均公用经费标准申请财政预算资金，通过合理、合规使用资金达到保证学校正常运转，改善办学条件，促进义务教育发展。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1853人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2023年，廊坊市第十二小学安排政府采购预算0.00万元。具体内容见下表。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3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5"/>
        <w:gridCol w:w="709"/>
        <w:gridCol w:w="783"/>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720" w:type="dxa"/>
            <w:gridSpan w:val="7"/>
            <w:tcBorders>
              <w:top w:val="single" w:color="FFFFFF" w:sz="6" w:space="0"/>
              <w:left w:val="single" w:color="FFFFFF" w:sz="6" w:space="0"/>
              <w:right w:val="single" w:color="FFFFFF" w:sz="6" w:space="0"/>
            </w:tcBorders>
            <w:vAlign w:val="center"/>
          </w:tcPr>
          <w:p>
            <w:pPr>
              <w:pStyle w:val="14"/>
            </w:pPr>
            <w:r>
              <w:t>459001廊坊市第十二小学</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94" w:type="dxa"/>
            <w:gridSpan w:val="2"/>
            <w:vAlign w:val="center"/>
          </w:tcPr>
          <w:p>
            <w:pPr>
              <w:pStyle w:val="15"/>
            </w:pPr>
            <w:r>
              <w:t>政府采购项目来源</w:t>
            </w:r>
          </w:p>
        </w:tc>
        <w:tc>
          <w:tcPr>
            <w:tcW w:w="783"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5" w:type="dxa"/>
            <w:vAlign w:val="center"/>
          </w:tcPr>
          <w:p>
            <w:pPr>
              <w:pStyle w:val="15"/>
            </w:pPr>
            <w:r>
              <w:t>项目名称</w:t>
            </w:r>
          </w:p>
        </w:tc>
        <w:tc>
          <w:tcPr>
            <w:tcW w:w="709" w:type="dxa"/>
            <w:vAlign w:val="center"/>
          </w:tcPr>
          <w:p>
            <w:pPr>
              <w:pStyle w:val="15"/>
            </w:pPr>
            <w:r>
              <w:t>预算    资金</w:t>
            </w:r>
          </w:p>
        </w:tc>
        <w:tc>
          <w:tcPr>
            <w:tcW w:w="783"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685" w:type="dxa"/>
            <w:vAlign w:val="center"/>
          </w:tcPr>
          <w:p>
            <w:pPr>
              <w:pStyle w:val="17"/>
            </w:pPr>
          </w:p>
        </w:tc>
        <w:tc>
          <w:tcPr>
            <w:tcW w:w="709" w:type="dxa"/>
            <w:vAlign w:val="center"/>
          </w:tcPr>
          <w:p>
            <w:pPr>
              <w:pStyle w:val="16"/>
            </w:pPr>
          </w:p>
        </w:tc>
        <w:tc>
          <w:tcPr>
            <w:tcW w:w="783"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廊坊市第十二小学上年末固定资产金额为804.01万元（详见下表）。本年度拟购置固定资产总额为16.22万元，已按要求列入政府采购预算，详见政府采购预算表。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459001廊坊市第十二小学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804.01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7437</w:t>
            </w:r>
          </w:p>
        </w:tc>
        <w:tc>
          <w:tcPr>
            <w:tcW w:w="2835" w:type="dxa"/>
            <w:vAlign w:val="center"/>
          </w:tcPr>
          <w:p>
            <w:pPr>
              <w:pStyle w:val="16"/>
            </w:pPr>
            <w:r>
              <w:t>416.00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461.09</w:t>
            </w:r>
          </w:p>
        </w:tc>
        <w:tc>
          <w:tcPr>
            <w:tcW w:w="2835" w:type="dxa"/>
            <w:vAlign w:val="center"/>
          </w:tcPr>
          <w:p>
            <w:pPr>
              <w:pStyle w:val="16"/>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388.01</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9633D3"/>
    <w:rsid w:val="001B6100"/>
    <w:rsid w:val="009633D3"/>
    <w:rsid w:val="00E862D0"/>
    <w:rsid w:val="00FE2F98"/>
    <w:rsid w:val="03BE4D5C"/>
    <w:rsid w:val="0A3D617F"/>
    <w:rsid w:val="239C5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2023-03-13T11:08:13Z</dcterms:created>
  <dcterms:modified xsi:type="dcterms:W3CDTF">2023-03-13T03:08:13Z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2023-03-13T03:08:10Z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2023-03-13T11:08:13Z</dcterms:created>
  <dcterms:modified xsi:type="dcterms:W3CDTF">2023-03-13T03:08:13Z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2023-03-13T11:08:12Z</dcterms:created>
  <dcterms:modified xsi:type="dcterms:W3CDTF">2023-03-13T03:08:12Z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2023-03-13T11:08:13Z</dcterms:created>
  <dcterms:modified xsi:type="dcterms:W3CDTF">2023-03-13T03:08:13Z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620AD45-1660-4C77-9AAA-7978339BCA32}">
  <ds:schemaRefs/>
</ds:datastoreItem>
</file>

<file path=customXml/itemProps10.xml><?xml version="1.0" encoding="utf-8"?>
<ds:datastoreItem xmlns:ds="http://schemas.openxmlformats.org/officeDocument/2006/customXml" ds:itemID="{D734DE0C-D153-4843-AC4D-3641BA4BFBDB}">
  <ds:schemaRefs/>
</ds:datastoreItem>
</file>

<file path=customXml/itemProps11.xml><?xml version="1.0" encoding="utf-8"?>
<ds:datastoreItem xmlns:ds="http://schemas.openxmlformats.org/officeDocument/2006/customXml" ds:itemID="{0DB654FE-42B7-4488-A18C-41E933DD7C58}">
  <ds:schemaRefs/>
</ds:datastoreItem>
</file>

<file path=customXml/itemProps12.xml><?xml version="1.0" encoding="utf-8"?>
<ds:datastoreItem xmlns:ds="http://schemas.openxmlformats.org/officeDocument/2006/customXml" ds:itemID="{ABEDD069-1A72-4CF6-9D3F-6C9CE00923AD}">
  <ds:schemaRefs/>
</ds:datastoreItem>
</file>

<file path=customXml/itemProps13.xml><?xml version="1.0" encoding="utf-8"?>
<ds:datastoreItem xmlns:ds="http://schemas.openxmlformats.org/officeDocument/2006/customXml" ds:itemID="{B57C6098-12F2-46E9-A2B9-DCCFF84BD3AB}">
  <ds:schemaRefs/>
</ds:datastoreItem>
</file>

<file path=customXml/itemProps14.xml><?xml version="1.0" encoding="utf-8"?>
<ds:datastoreItem xmlns:ds="http://schemas.openxmlformats.org/officeDocument/2006/customXml" ds:itemID="{11742F27-1FA4-44D6-967D-1670049D8FD5}">
  <ds:schemaRefs/>
</ds:datastoreItem>
</file>

<file path=customXml/itemProps15.xml><?xml version="1.0" encoding="utf-8"?>
<ds:datastoreItem xmlns:ds="http://schemas.openxmlformats.org/officeDocument/2006/customXml" ds:itemID="{F298D7D3-1B27-4BD2-A5A2-BF123B85BF6D}">
  <ds:schemaRefs/>
</ds:datastoreItem>
</file>

<file path=customXml/itemProps16.xml><?xml version="1.0" encoding="utf-8"?>
<ds:datastoreItem xmlns:ds="http://schemas.openxmlformats.org/officeDocument/2006/customXml" ds:itemID="{063EA03B-8FB9-4D23-8F5C-F0EFA2F44EBF}">
  <ds:schemaRefs/>
</ds:datastoreItem>
</file>

<file path=customXml/itemProps17.xml><?xml version="1.0" encoding="utf-8"?>
<ds:datastoreItem xmlns:ds="http://schemas.openxmlformats.org/officeDocument/2006/customXml" ds:itemID="{08E97973-34AC-413D-BBBE-3AB6CE97DFBA}">
  <ds:schemaRefs/>
</ds:datastoreItem>
</file>

<file path=customXml/itemProps18.xml><?xml version="1.0" encoding="utf-8"?>
<ds:datastoreItem xmlns:ds="http://schemas.openxmlformats.org/officeDocument/2006/customXml" ds:itemID="{B98CD8BA-8A27-4769-8A37-389C6FC5D892}">
  <ds:schemaRefs/>
</ds:datastoreItem>
</file>

<file path=customXml/itemProps2.xml><?xml version="1.0" encoding="utf-8"?>
<ds:datastoreItem xmlns:ds="http://schemas.openxmlformats.org/officeDocument/2006/customXml" ds:itemID="{DC26A5E3-012A-4B34-9C3F-90DD4E1F0DED}">
  <ds:schemaRefs/>
</ds:datastoreItem>
</file>

<file path=customXml/itemProps3.xml><?xml version="1.0" encoding="utf-8"?>
<ds:datastoreItem xmlns:ds="http://schemas.openxmlformats.org/officeDocument/2006/customXml" ds:itemID="{BED992A5-0E7C-46F2-B1C8-37D17B9AD472}">
  <ds:schemaRefs/>
</ds:datastoreItem>
</file>

<file path=customXml/itemProps4.xml><?xml version="1.0" encoding="utf-8"?>
<ds:datastoreItem xmlns:ds="http://schemas.openxmlformats.org/officeDocument/2006/customXml" ds:itemID="{C721C850-178A-4328-B4D5-4306D85FC702}">
  <ds:schemaRefs/>
</ds:datastoreItem>
</file>

<file path=customXml/itemProps5.xml><?xml version="1.0" encoding="utf-8"?>
<ds:datastoreItem xmlns:ds="http://schemas.openxmlformats.org/officeDocument/2006/customXml" ds:itemID="{3A09DF8B-5D98-4B44-A0AE-73F32A3722C8}">
  <ds:schemaRefs/>
</ds:datastoreItem>
</file>

<file path=customXml/itemProps6.xml><?xml version="1.0" encoding="utf-8"?>
<ds:datastoreItem xmlns:ds="http://schemas.openxmlformats.org/officeDocument/2006/customXml" ds:itemID="{17560678-92AD-4C3F-AFCA-5C62CA772072}">
  <ds:schemaRefs/>
</ds:datastoreItem>
</file>

<file path=customXml/itemProps7.xml><?xml version="1.0" encoding="utf-8"?>
<ds:datastoreItem xmlns:ds="http://schemas.openxmlformats.org/officeDocument/2006/customXml" ds:itemID="{BAE2FEF6-0710-4857-9189-1499563ED2E0}">
  <ds:schemaRefs/>
</ds:datastoreItem>
</file>

<file path=customXml/itemProps8.xml><?xml version="1.0" encoding="utf-8"?>
<ds:datastoreItem xmlns:ds="http://schemas.openxmlformats.org/officeDocument/2006/customXml" ds:itemID="{A63523D4-893C-4934-BB46-034F55DF068A}">
  <ds:schemaRefs/>
</ds:datastoreItem>
</file>

<file path=customXml/itemProps9.xml><?xml version="1.0" encoding="utf-8"?>
<ds:datastoreItem xmlns:ds="http://schemas.openxmlformats.org/officeDocument/2006/customXml" ds:itemID="{91A35A7C-0800-40E0-B6DC-A3D212D4B88D}">
  <ds:schemaRefs/>
</ds:datastoreItem>
</file>

<file path=docProps/app.xml><?xml version="1.0" encoding="utf-8"?>
<Properties xmlns="http://schemas.openxmlformats.org/officeDocument/2006/extended-properties" xmlns:vt="http://schemas.openxmlformats.org/officeDocument/2006/docPropsVTypes">
  <Template>Normal</Template>
  <Pages>26</Pages>
  <Words>1501</Words>
  <Characters>8556</Characters>
  <Lines>71</Lines>
  <Paragraphs>20</Paragraphs>
  <TotalTime>2</TotalTime>
  <ScaleCrop>false</ScaleCrop>
  <LinksUpToDate>false</LinksUpToDate>
  <CharactersWithSpaces>10037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lenovo</dc:creator>
  <cp:lastModifiedBy>Administrator</cp:lastModifiedBy>
  <dcterms:modified xsi:type="dcterms:W3CDTF">2024-01-10T10:51:51Z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508876ECCBFA48898869E7CB53E39C66</vt:lpwstr>
  </property>
</Properties>
</file>