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32</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485001廊坊市第四职业中学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759.85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762.88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759.85</w:t>
            </w:r>
          </w:p>
        </w:tc>
        <w:tc>
          <w:tcPr>
            <w:tcW w:w="4535" w:type="dxa"/>
            <w:vAlign w:val="center"/>
          </w:tcPr>
          <w:p>
            <w:pPr>
              <w:pStyle w:val="19"/>
            </w:pPr>
            <w:r>
              <w:t>本年支出合计</w:t>
            </w:r>
          </w:p>
        </w:tc>
        <w:tc>
          <w:tcPr>
            <w:tcW w:w="2126" w:type="dxa"/>
            <w:vAlign w:val="center"/>
          </w:tcPr>
          <w:p>
            <w:pPr>
              <w:pStyle w:val="20"/>
            </w:pPr>
            <w:r>
              <w:t>762.88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3.03</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762.88</w:t>
            </w:r>
          </w:p>
        </w:tc>
        <w:tc>
          <w:tcPr>
            <w:tcW w:w="4535" w:type="dxa"/>
            <w:vAlign w:val="center"/>
          </w:tcPr>
          <w:p>
            <w:pPr>
              <w:pStyle w:val="19"/>
            </w:pPr>
            <w:r>
              <w:t>支出总计</w:t>
            </w:r>
          </w:p>
        </w:tc>
        <w:tc>
          <w:tcPr>
            <w:tcW w:w="2126" w:type="dxa"/>
            <w:vAlign w:val="center"/>
          </w:tcPr>
          <w:p>
            <w:pPr>
              <w:pStyle w:val="20"/>
            </w:pPr>
            <w:r>
              <w:t>762.88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485001廊坊市第四职业中学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762.88</w:t>
            </w:r>
          </w:p>
        </w:tc>
        <w:tc>
          <w:tcPr>
            <w:tcW w:w="1134" w:type="dxa"/>
            <w:vAlign w:val="center"/>
          </w:tcPr>
          <w:p>
            <w:pPr>
              <w:pStyle w:val="20"/>
            </w:pPr>
            <w:r>
              <w:t>759.85</w:t>
            </w:r>
          </w:p>
        </w:tc>
        <w:tc>
          <w:tcPr>
            <w:tcW w:w="1134" w:type="dxa"/>
            <w:vAlign w:val="center"/>
          </w:tcPr>
          <w:p>
            <w:pPr>
              <w:pStyle w:val="20"/>
            </w:pPr>
            <w:r>
              <w:t>759.85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762.88</w:t>
            </w:r>
          </w:p>
        </w:tc>
        <w:tc>
          <w:tcPr>
            <w:tcW w:w="1134" w:type="dxa"/>
            <w:vAlign w:val="center"/>
          </w:tcPr>
          <w:p>
            <w:pPr>
              <w:pStyle w:val="16"/>
            </w:pPr>
            <w:r>
              <w:t>759.85</w:t>
            </w:r>
          </w:p>
        </w:tc>
        <w:tc>
          <w:tcPr>
            <w:tcW w:w="1134" w:type="dxa"/>
            <w:vAlign w:val="center"/>
          </w:tcPr>
          <w:p>
            <w:pPr>
              <w:pStyle w:val="16"/>
            </w:pPr>
            <w:r>
              <w:t>759.85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20503</w:t>
            </w:r>
          </w:p>
        </w:tc>
        <w:tc>
          <w:tcPr>
            <w:tcW w:w="1559" w:type="dxa"/>
            <w:vAlign w:val="center"/>
          </w:tcPr>
          <w:p>
            <w:pPr>
              <w:pStyle w:val="17"/>
            </w:pPr>
            <w:r>
              <w:t>职业教育</w:t>
            </w:r>
          </w:p>
        </w:tc>
        <w:tc>
          <w:tcPr>
            <w:tcW w:w="1134" w:type="dxa"/>
            <w:vAlign w:val="center"/>
          </w:tcPr>
          <w:p>
            <w:pPr>
              <w:pStyle w:val="16"/>
            </w:pPr>
            <w:r>
              <w:t>762.88</w:t>
            </w:r>
          </w:p>
        </w:tc>
        <w:tc>
          <w:tcPr>
            <w:tcW w:w="1134" w:type="dxa"/>
            <w:vAlign w:val="center"/>
          </w:tcPr>
          <w:p>
            <w:pPr>
              <w:pStyle w:val="16"/>
            </w:pPr>
            <w:r>
              <w:t>759.85</w:t>
            </w:r>
          </w:p>
        </w:tc>
        <w:tc>
          <w:tcPr>
            <w:tcW w:w="1134" w:type="dxa"/>
            <w:vAlign w:val="center"/>
          </w:tcPr>
          <w:p>
            <w:pPr>
              <w:pStyle w:val="16"/>
            </w:pPr>
            <w:r>
              <w:t>759.85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2050302</w:t>
            </w:r>
          </w:p>
        </w:tc>
        <w:tc>
          <w:tcPr>
            <w:tcW w:w="1559" w:type="dxa"/>
            <w:vAlign w:val="center"/>
          </w:tcPr>
          <w:p>
            <w:pPr>
              <w:pStyle w:val="17"/>
            </w:pPr>
            <w:r>
              <w:t>中等职业教育</w:t>
            </w:r>
          </w:p>
        </w:tc>
        <w:tc>
          <w:tcPr>
            <w:tcW w:w="1134" w:type="dxa"/>
            <w:vAlign w:val="center"/>
          </w:tcPr>
          <w:p>
            <w:pPr>
              <w:pStyle w:val="16"/>
            </w:pPr>
            <w:r>
              <w:t>762.88</w:t>
            </w:r>
          </w:p>
        </w:tc>
        <w:tc>
          <w:tcPr>
            <w:tcW w:w="1134" w:type="dxa"/>
            <w:vAlign w:val="center"/>
          </w:tcPr>
          <w:p>
            <w:pPr>
              <w:pStyle w:val="16"/>
            </w:pPr>
            <w:r>
              <w:t>759.85</w:t>
            </w:r>
          </w:p>
        </w:tc>
        <w:tc>
          <w:tcPr>
            <w:tcW w:w="1134" w:type="dxa"/>
            <w:vAlign w:val="center"/>
          </w:tcPr>
          <w:p>
            <w:pPr>
              <w:pStyle w:val="16"/>
            </w:pPr>
            <w:r>
              <w:t>759.85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3.03</w:t>
            </w: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485001廊坊市第四职业中学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762.88</w:t>
            </w:r>
          </w:p>
        </w:tc>
        <w:tc>
          <w:tcPr>
            <w:tcW w:w="1361" w:type="dxa"/>
            <w:vAlign w:val="center"/>
          </w:tcPr>
          <w:p>
            <w:pPr>
              <w:pStyle w:val="20"/>
            </w:pPr>
            <w:r>
              <w:t>465.05</w:t>
            </w:r>
          </w:p>
        </w:tc>
        <w:tc>
          <w:tcPr>
            <w:tcW w:w="1361" w:type="dxa"/>
            <w:vAlign w:val="center"/>
          </w:tcPr>
          <w:p>
            <w:pPr>
              <w:pStyle w:val="20"/>
            </w:pPr>
            <w:r>
              <w:t>297.83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762.88</w:t>
            </w:r>
          </w:p>
        </w:tc>
        <w:tc>
          <w:tcPr>
            <w:tcW w:w="1361" w:type="dxa"/>
            <w:vAlign w:val="center"/>
          </w:tcPr>
          <w:p>
            <w:pPr>
              <w:pStyle w:val="16"/>
            </w:pPr>
            <w:r>
              <w:t>465.05</w:t>
            </w:r>
          </w:p>
        </w:tc>
        <w:tc>
          <w:tcPr>
            <w:tcW w:w="1361" w:type="dxa"/>
            <w:vAlign w:val="center"/>
          </w:tcPr>
          <w:p>
            <w:pPr>
              <w:pStyle w:val="16"/>
            </w:pPr>
            <w:r>
              <w:t>297.83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20503</w:t>
            </w:r>
          </w:p>
        </w:tc>
        <w:tc>
          <w:tcPr>
            <w:tcW w:w="4535" w:type="dxa"/>
            <w:vAlign w:val="center"/>
          </w:tcPr>
          <w:p>
            <w:pPr>
              <w:pStyle w:val="17"/>
            </w:pPr>
            <w:r>
              <w:t>职业教育</w:t>
            </w:r>
          </w:p>
        </w:tc>
        <w:tc>
          <w:tcPr>
            <w:tcW w:w="1361" w:type="dxa"/>
            <w:vAlign w:val="center"/>
          </w:tcPr>
          <w:p>
            <w:pPr>
              <w:pStyle w:val="16"/>
            </w:pPr>
            <w:r>
              <w:t>762.88</w:t>
            </w:r>
          </w:p>
        </w:tc>
        <w:tc>
          <w:tcPr>
            <w:tcW w:w="1361" w:type="dxa"/>
            <w:vAlign w:val="center"/>
          </w:tcPr>
          <w:p>
            <w:pPr>
              <w:pStyle w:val="16"/>
            </w:pPr>
            <w:r>
              <w:t>465.05</w:t>
            </w:r>
          </w:p>
        </w:tc>
        <w:tc>
          <w:tcPr>
            <w:tcW w:w="1361" w:type="dxa"/>
            <w:vAlign w:val="center"/>
          </w:tcPr>
          <w:p>
            <w:pPr>
              <w:pStyle w:val="16"/>
            </w:pPr>
            <w:r>
              <w:t>297.83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2050302</w:t>
            </w:r>
          </w:p>
        </w:tc>
        <w:tc>
          <w:tcPr>
            <w:tcW w:w="4535" w:type="dxa"/>
            <w:vAlign w:val="center"/>
          </w:tcPr>
          <w:p>
            <w:pPr>
              <w:pStyle w:val="17"/>
            </w:pPr>
            <w:r>
              <w:t>中等职业教育</w:t>
            </w:r>
          </w:p>
        </w:tc>
        <w:tc>
          <w:tcPr>
            <w:tcW w:w="1361" w:type="dxa"/>
            <w:vAlign w:val="center"/>
          </w:tcPr>
          <w:p>
            <w:pPr>
              <w:pStyle w:val="16"/>
            </w:pPr>
            <w:r>
              <w:t>762.88</w:t>
            </w:r>
          </w:p>
        </w:tc>
        <w:tc>
          <w:tcPr>
            <w:tcW w:w="1361" w:type="dxa"/>
            <w:vAlign w:val="center"/>
          </w:tcPr>
          <w:p>
            <w:pPr>
              <w:pStyle w:val="16"/>
            </w:pPr>
            <w:r>
              <w:t>465.05</w:t>
            </w:r>
          </w:p>
        </w:tc>
        <w:tc>
          <w:tcPr>
            <w:tcW w:w="1361" w:type="dxa"/>
            <w:vAlign w:val="center"/>
          </w:tcPr>
          <w:p>
            <w:pPr>
              <w:pStyle w:val="16"/>
            </w:pPr>
            <w:r>
              <w:t>297.83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485001廊坊市第四职业中学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759.85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762.88</w:t>
            </w:r>
          </w:p>
        </w:tc>
        <w:tc>
          <w:tcPr>
            <w:tcW w:w="1474" w:type="dxa"/>
            <w:vAlign w:val="center"/>
          </w:tcPr>
          <w:p>
            <w:pPr>
              <w:pStyle w:val="16"/>
            </w:pPr>
            <w:r>
              <w:t>762.88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759.85</w:t>
            </w:r>
          </w:p>
        </w:tc>
        <w:tc>
          <w:tcPr>
            <w:tcW w:w="3402" w:type="dxa"/>
            <w:vAlign w:val="center"/>
          </w:tcPr>
          <w:p>
            <w:pPr>
              <w:pStyle w:val="19"/>
            </w:pPr>
            <w:r>
              <w:t>本年支出合计</w:t>
            </w:r>
          </w:p>
        </w:tc>
        <w:tc>
          <w:tcPr>
            <w:tcW w:w="1474" w:type="dxa"/>
            <w:vAlign w:val="center"/>
          </w:tcPr>
          <w:p>
            <w:pPr>
              <w:pStyle w:val="20"/>
            </w:pPr>
            <w:r>
              <w:t>762.88</w:t>
            </w:r>
          </w:p>
        </w:tc>
        <w:tc>
          <w:tcPr>
            <w:tcW w:w="1474" w:type="dxa"/>
            <w:vAlign w:val="center"/>
          </w:tcPr>
          <w:p>
            <w:pPr>
              <w:pStyle w:val="20"/>
            </w:pPr>
            <w:r>
              <w:t>762.88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3.03</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3.03</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762.88</w:t>
            </w:r>
          </w:p>
        </w:tc>
        <w:tc>
          <w:tcPr>
            <w:tcW w:w="3402" w:type="dxa"/>
            <w:vAlign w:val="center"/>
          </w:tcPr>
          <w:p>
            <w:pPr>
              <w:pStyle w:val="19"/>
            </w:pPr>
            <w:r>
              <w:t>支出总计</w:t>
            </w:r>
          </w:p>
        </w:tc>
        <w:tc>
          <w:tcPr>
            <w:tcW w:w="1474" w:type="dxa"/>
            <w:vAlign w:val="center"/>
          </w:tcPr>
          <w:p>
            <w:pPr>
              <w:pStyle w:val="20"/>
            </w:pPr>
            <w:r>
              <w:t>762.88</w:t>
            </w:r>
          </w:p>
        </w:tc>
        <w:tc>
          <w:tcPr>
            <w:tcW w:w="1474" w:type="dxa"/>
            <w:vAlign w:val="center"/>
          </w:tcPr>
          <w:p>
            <w:pPr>
              <w:pStyle w:val="20"/>
            </w:pPr>
            <w:r>
              <w:t>762.88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485001廊坊市第四职业中学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762.88</w:t>
            </w:r>
          </w:p>
        </w:tc>
        <w:tc>
          <w:tcPr>
            <w:tcW w:w="2551" w:type="dxa"/>
            <w:vAlign w:val="center"/>
          </w:tcPr>
          <w:p>
            <w:pPr>
              <w:pStyle w:val="20"/>
            </w:pPr>
            <w:r>
              <w:t>465.05</w:t>
            </w:r>
          </w:p>
        </w:tc>
        <w:tc>
          <w:tcPr>
            <w:tcW w:w="2551" w:type="dxa"/>
            <w:vAlign w:val="center"/>
          </w:tcPr>
          <w:p>
            <w:pPr>
              <w:pStyle w:val="20"/>
            </w:pPr>
            <w:r>
              <w:t>297.83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762.88</w:t>
            </w:r>
          </w:p>
        </w:tc>
        <w:tc>
          <w:tcPr>
            <w:tcW w:w="2551" w:type="dxa"/>
            <w:vAlign w:val="center"/>
          </w:tcPr>
          <w:p>
            <w:pPr>
              <w:pStyle w:val="16"/>
            </w:pPr>
            <w:r>
              <w:t>465.05</w:t>
            </w:r>
          </w:p>
        </w:tc>
        <w:tc>
          <w:tcPr>
            <w:tcW w:w="2551" w:type="dxa"/>
            <w:vAlign w:val="center"/>
          </w:tcPr>
          <w:p>
            <w:pPr>
              <w:pStyle w:val="16"/>
            </w:pPr>
            <w:r>
              <w:t>297.83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20503</w:t>
            </w:r>
          </w:p>
        </w:tc>
        <w:tc>
          <w:tcPr>
            <w:tcW w:w="4535" w:type="dxa"/>
            <w:vAlign w:val="center"/>
          </w:tcPr>
          <w:p>
            <w:pPr>
              <w:pStyle w:val="17"/>
            </w:pPr>
            <w:r>
              <w:t>职业教育</w:t>
            </w:r>
          </w:p>
        </w:tc>
        <w:tc>
          <w:tcPr>
            <w:tcW w:w="2551" w:type="dxa"/>
            <w:vAlign w:val="center"/>
          </w:tcPr>
          <w:p>
            <w:pPr>
              <w:pStyle w:val="16"/>
            </w:pPr>
            <w:r>
              <w:t>762.88</w:t>
            </w:r>
          </w:p>
        </w:tc>
        <w:tc>
          <w:tcPr>
            <w:tcW w:w="2551" w:type="dxa"/>
            <w:vAlign w:val="center"/>
          </w:tcPr>
          <w:p>
            <w:pPr>
              <w:pStyle w:val="16"/>
            </w:pPr>
            <w:r>
              <w:t>465.05</w:t>
            </w:r>
          </w:p>
        </w:tc>
        <w:tc>
          <w:tcPr>
            <w:tcW w:w="2551" w:type="dxa"/>
            <w:vAlign w:val="center"/>
          </w:tcPr>
          <w:p>
            <w:pPr>
              <w:pStyle w:val="16"/>
            </w:pPr>
            <w:r>
              <w:t>297.83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2050302</w:t>
            </w:r>
          </w:p>
        </w:tc>
        <w:tc>
          <w:tcPr>
            <w:tcW w:w="4535" w:type="dxa"/>
            <w:vAlign w:val="center"/>
          </w:tcPr>
          <w:p>
            <w:pPr>
              <w:pStyle w:val="17"/>
            </w:pPr>
            <w:r>
              <w:t>中等职业教育</w:t>
            </w:r>
          </w:p>
        </w:tc>
        <w:tc>
          <w:tcPr>
            <w:tcW w:w="2551" w:type="dxa"/>
            <w:vAlign w:val="center"/>
          </w:tcPr>
          <w:p>
            <w:pPr>
              <w:pStyle w:val="16"/>
            </w:pPr>
            <w:r>
              <w:t>762.88</w:t>
            </w:r>
          </w:p>
        </w:tc>
        <w:tc>
          <w:tcPr>
            <w:tcW w:w="2551" w:type="dxa"/>
            <w:vAlign w:val="center"/>
          </w:tcPr>
          <w:p>
            <w:pPr>
              <w:pStyle w:val="16"/>
            </w:pPr>
            <w:r>
              <w:t>465.05</w:t>
            </w:r>
          </w:p>
        </w:tc>
        <w:tc>
          <w:tcPr>
            <w:tcW w:w="2551" w:type="dxa"/>
            <w:vAlign w:val="center"/>
          </w:tcPr>
          <w:p>
            <w:pPr>
              <w:pStyle w:val="16"/>
            </w:pPr>
            <w:r>
              <w:t>297.83</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485001廊坊市第四职业中学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465.05</w:t>
            </w:r>
          </w:p>
        </w:tc>
        <w:tc>
          <w:tcPr>
            <w:tcW w:w="2551" w:type="dxa"/>
            <w:vAlign w:val="center"/>
          </w:tcPr>
          <w:p>
            <w:pPr>
              <w:pStyle w:val="20"/>
            </w:pPr>
            <w:r>
              <w:t>460.28</w:t>
            </w:r>
          </w:p>
        </w:tc>
        <w:tc>
          <w:tcPr>
            <w:tcW w:w="2551" w:type="dxa"/>
            <w:vAlign w:val="center"/>
          </w:tcPr>
          <w:p>
            <w:pPr>
              <w:pStyle w:val="20"/>
            </w:pPr>
            <w: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388.95</w:t>
            </w:r>
          </w:p>
        </w:tc>
        <w:tc>
          <w:tcPr>
            <w:tcW w:w="2551" w:type="dxa"/>
            <w:vAlign w:val="center"/>
          </w:tcPr>
          <w:p>
            <w:pPr>
              <w:pStyle w:val="16"/>
            </w:pPr>
            <w:r>
              <w:t>388.95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128.20</w:t>
            </w:r>
          </w:p>
        </w:tc>
        <w:tc>
          <w:tcPr>
            <w:tcW w:w="2551" w:type="dxa"/>
            <w:vAlign w:val="center"/>
          </w:tcPr>
          <w:p>
            <w:pPr>
              <w:pStyle w:val="16"/>
            </w:pPr>
            <w:r>
              <w:t>128.20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43.55</w:t>
            </w:r>
          </w:p>
        </w:tc>
        <w:tc>
          <w:tcPr>
            <w:tcW w:w="2551" w:type="dxa"/>
            <w:vAlign w:val="center"/>
          </w:tcPr>
          <w:p>
            <w:pPr>
              <w:pStyle w:val="16"/>
            </w:pPr>
            <w:r>
              <w:t>43.55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62.21</w:t>
            </w:r>
          </w:p>
        </w:tc>
        <w:tc>
          <w:tcPr>
            <w:tcW w:w="2551" w:type="dxa"/>
            <w:vAlign w:val="center"/>
          </w:tcPr>
          <w:p>
            <w:pPr>
              <w:pStyle w:val="16"/>
            </w:pPr>
            <w:r>
              <w:t>62.21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73.33</w:t>
            </w:r>
          </w:p>
        </w:tc>
        <w:tc>
          <w:tcPr>
            <w:tcW w:w="2551" w:type="dxa"/>
            <w:vAlign w:val="center"/>
          </w:tcPr>
          <w:p>
            <w:pPr>
              <w:pStyle w:val="16"/>
            </w:pPr>
            <w:r>
              <w:t>73.33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38.22</w:t>
            </w:r>
          </w:p>
        </w:tc>
        <w:tc>
          <w:tcPr>
            <w:tcW w:w="2551" w:type="dxa"/>
            <w:vAlign w:val="center"/>
          </w:tcPr>
          <w:p>
            <w:pPr>
              <w:pStyle w:val="16"/>
            </w:pPr>
            <w:r>
              <w:t>38.22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11.01</w:t>
            </w:r>
          </w:p>
        </w:tc>
        <w:tc>
          <w:tcPr>
            <w:tcW w:w="2551" w:type="dxa"/>
            <w:vAlign w:val="center"/>
          </w:tcPr>
          <w:p>
            <w:pPr>
              <w:pStyle w:val="16"/>
            </w:pPr>
            <w:r>
              <w:t>11.01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1.21</w:t>
            </w:r>
          </w:p>
        </w:tc>
        <w:tc>
          <w:tcPr>
            <w:tcW w:w="2551" w:type="dxa"/>
            <w:vAlign w:val="center"/>
          </w:tcPr>
          <w:p>
            <w:pPr>
              <w:pStyle w:val="16"/>
            </w:pPr>
            <w:r>
              <w:t>1.21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30.86</w:t>
            </w:r>
          </w:p>
        </w:tc>
        <w:tc>
          <w:tcPr>
            <w:tcW w:w="2551" w:type="dxa"/>
            <w:vAlign w:val="center"/>
          </w:tcPr>
          <w:p>
            <w:pPr>
              <w:pStyle w:val="16"/>
            </w:pPr>
            <w:r>
              <w:t>30.86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0.36</w:t>
            </w:r>
          </w:p>
        </w:tc>
        <w:tc>
          <w:tcPr>
            <w:tcW w:w="2551" w:type="dxa"/>
            <w:vAlign w:val="center"/>
          </w:tcPr>
          <w:p>
            <w:pPr>
              <w:pStyle w:val="16"/>
            </w:pPr>
            <w:r>
              <w:t>0.36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4.77</w:t>
            </w:r>
          </w:p>
        </w:tc>
        <w:tc>
          <w:tcPr>
            <w:tcW w:w="2551" w:type="dxa"/>
            <w:vAlign w:val="center"/>
          </w:tcPr>
          <w:p>
            <w:pPr>
              <w:pStyle w:val="16"/>
            </w:pPr>
          </w:p>
        </w:tc>
        <w:tc>
          <w:tcPr>
            <w:tcW w:w="2551" w:type="dxa"/>
            <w:vAlign w:val="center"/>
          </w:tcPr>
          <w:p>
            <w:pPr>
              <w:pStyle w:val="16"/>
            </w:pPr>
            <w: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2.34</w:t>
            </w:r>
          </w:p>
        </w:tc>
        <w:tc>
          <w:tcPr>
            <w:tcW w:w="2551" w:type="dxa"/>
            <w:vAlign w:val="center"/>
          </w:tcPr>
          <w:p>
            <w:pPr>
              <w:pStyle w:val="16"/>
            </w:pPr>
          </w:p>
        </w:tc>
        <w:tc>
          <w:tcPr>
            <w:tcW w:w="2551" w:type="dxa"/>
            <w:vAlign w:val="center"/>
          </w:tcPr>
          <w:p>
            <w:pPr>
              <w:pStyle w:val="16"/>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2.43</w:t>
            </w:r>
          </w:p>
        </w:tc>
        <w:tc>
          <w:tcPr>
            <w:tcW w:w="2551" w:type="dxa"/>
            <w:vAlign w:val="center"/>
          </w:tcPr>
          <w:p>
            <w:pPr>
              <w:pStyle w:val="16"/>
            </w:pPr>
          </w:p>
        </w:tc>
        <w:tc>
          <w:tcPr>
            <w:tcW w:w="2551" w:type="dxa"/>
            <w:vAlign w:val="center"/>
          </w:tcPr>
          <w:p>
            <w:pPr>
              <w:pStyle w:val="16"/>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71.33</w:t>
            </w:r>
          </w:p>
        </w:tc>
        <w:tc>
          <w:tcPr>
            <w:tcW w:w="2551" w:type="dxa"/>
            <w:vAlign w:val="center"/>
          </w:tcPr>
          <w:p>
            <w:pPr>
              <w:pStyle w:val="16"/>
            </w:pPr>
            <w:r>
              <w:t>71.33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68.41</w:t>
            </w:r>
          </w:p>
        </w:tc>
        <w:tc>
          <w:tcPr>
            <w:tcW w:w="2551" w:type="dxa"/>
            <w:vAlign w:val="center"/>
          </w:tcPr>
          <w:p>
            <w:pPr>
              <w:pStyle w:val="16"/>
            </w:pPr>
            <w:r>
              <w:t>68.41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2.88</w:t>
            </w:r>
          </w:p>
        </w:tc>
        <w:tc>
          <w:tcPr>
            <w:tcW w:w="2551" w:type="dxa"/>
            <w:vAlign w:val="center"/>
          </w:tcPr>
          <w:p>
            <w:pPr>
              <w:pStyle w:val="16"/>
            </w:pPr>
            <w:r>
              <w:t>2.88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485001廊坊市第四职业中学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485001廊坊市第四职业中学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485001廊坊市第四职业中学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廊坊市第四职业中学2023年单位预算信息公开情况说明</w:t>
      </w:r>
    </w:p>
    <w:p>
      <w:pPr>
        <w:spacing w:line="500" w:lineRule="exact"/>
        <w:ind w:firstLine="560"/>
      </w:pPr>
      <w:r>
        <w:rPr>
          <w:rFonts w:eastAsia="方正仿宋_GBK" w:cs="Times New Roman"/>
          <w:color w:val="000000"/>
          <w:sz w:val="28"/>
        </w:rPr>
        <w:t>按照《</w:t>
      </w:r>
      <w:bookmarkStart w:id="19" w:name="_GoBack"/>
      <w:r>
        <w:rPr>
          <w:rFonts w:hint="eastAsia" w:eastAsia="方正仿宋_GBK" w:cs="Times New Roman"/>
          <w:color w:val="000000"/>
          <w:sz w:val="28"/>
          <w:lang w:eastAsia="zh-CN"/>
        </w:rPr>
        <w:t>中华人民共和国</w:t>
      </w:r>
      <w:bookmarkEnd w:id="19"/>
      <w:r>
        <w:rPr>
          <w:rFonts w:eastAsia="方正仿宋_GBK" w:cs="Times New Roman"/>
          <w:color w:val="000000"/>
          <w:sz w:val="28"/>
        </w:rPr>
        <w:t>预算法》、《地方预决算公开操作规程》和《关于进一步推进预算公开工作的实施意见》规定，现将廊坊市第四职业中学2023年单位预算公开如下：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（一）我单位主要实施职业高中教育，促进职业教育发展，完成职业高中学历教育。</w:t>
      </w:r>
    </w:p>
    <w:p>
      <w:pPr>
        <w:pStyle w:val="30"/>
      </w:pPr>
      <w:r>
        <w:t>（二）正确贯彻执行党和国家的教育方针、政策、法规。维护学校的教学秩序，为学生创造良好的学习环境。</w:t>
      </w:r>
    </w:p>
    <w:p>
      <w:pPr>
        <w:pStyle w:val="30"/>
      </w:pPr>
      <w:r>
        <w:t>（三）积极稳妥地推进教育改革，按教育规律办事，不断提高教育质量。</w:t>
      </w:r>
    </w:p>
    <w:p>
      <w:pPr>
        <w:pStyle w:val="30"/>
      </w:pPr>
      <w:r>
        <w:t>（四）根据学校规模，设置学校管理机构，建立健全各项规章制度和岗位责任制。</w:t>
      </w:r>
    </w:p>
    <w:p>
      <w:pPr>
        <w:pStyle w:val="30"/>
      </w:pPr>
      <w:r>
        <w:t>（五）坚持教书育人，服务育人，环境育人方针，加强对学生的思想品德教育，使学生的德智体全面发展。</w:t>
      </w:r>
    </w:p>
    <w:p>
      <w:pPr>
        <w:pStyle w:val="30"/>
      </w:pPr>
      <w:r>
        <w:t>（六）抓好教师队伍建设，使每个教师都热心于教育事业。做好安全防范，保证学生的人</w:t>
      </w:r>
      <w:r>
        <w:rPr>
          <w:rFonts w:hint="eastAsia"/>
          <w:lang w:eastAsia="zh-CN"/>
        </w:rPr>
        <w:t>身</w:t>
      </w:r>
      <w:r>
        <w:t>安全。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廊坊市第四职业中学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反映本部门当年全部收入。2023年预算收入762.88万元，其中：一般公共预算收入759.85万元，基金预算收入0万元，财政专户核拨收入0万元，其他来源收入0万元，上年结转3.03万元。</w:t>
      </w:r>
    </w:p>
    <w:p>
      <w:pPr>
        <w:pStyle w:val="31"/>
      </w:pPr>
      <w:r>
        <w:t>2、支出说明</w:t>
      </w:r>
    </w:p>
    <w:p>
      <w:pPr>
        <w:pStyle w:val="31"/>
      </w:pPr>
      <w:r>
        <w:t>收支预算总表支出栏、基本支出表、项目支出表按经济分类和支出功能分类科目编制，反映廊坊市第四职业中学2023年度部门预算中支出预算的总体情况。2023年支出预算万元，其中基本支出465.05万元，包括人员类项目经费460.28万元和日常公用经费4.77万元；项目支出297.83万元。全部为本级支出，主要为中职免学费，中职生均经费，中职助学金等项目。</w:t>
      </w:r>
    </w:p>
    <w:p>
      <w:pPr>
        <w:pStyle w:val="31"/>
      </w:pPr>
      <w:r>
        <w:t>3、比上年增减情况</w:t>
      </w:r>
    </w:p>
    <w:p>
      <w:pPr>
        <w:pStyle w:val="31"/>
      </w:pPr>
      <w:r>
        <w:t>2023年预算收支安排762.88万元，较2022年预算减少245.04万元。其中：基本支出增加72.49万元，增加原因主要为人员经费支出增加；项目支出减少317.53万元，减少原因主要为上级支出的中职免学费，中职生均经费，中职助学金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运行经费共计安排4.77万元,主要用于办公区的日常维修、办公费用、办公用房水电费、办公用房取暖费、邮电费、差旅费、办公用房物业管理费、公务用车运行维护费等日常运行支出。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坚持执行党和国家的教育方针、政策、法规，维护学校的教学秩序，建立健全各项规章制度和岗位责任制，为学生创造良好的学习环境；完善教育基础设施，推荐学校建设，加快提升装备水平；打算一流教师队伍，补充师资力量，提高专业素质，完善考核机制；优化教育教学管理，坚持教书育人、服务育人、环境育人方针，加强对学生的思想品德教育，使学生的德智体全面发展；抓好教师队伍建设，使每个教师都热心于教育事业，做好安全防范，保证学生的人身安全。</w:t>
      </w:r>
    </w:p>
    <w:p>
      <w:pPr>
        <w:spacing w:line="500" w:lineRule="exact"/>
        <w:ind w:firstLine="560"/>
      </w:pPr>
      <w:r>
        <w:rPr>
          <w:rFonts w:eastAsia="方正仿宋_GBK"/>
          <w:color w:val="000000"/>
          <w:sz w:val="28"/>
        </w:rPr>
        <w:t>（二）分项绩效目标</w:t>
      </w:r>
    </w:p>
    <w:p>
      <w:pPr>
        <w:pStyle w:val="27"/>
      </w:pPr>
      <w:r>
        <w:t>1、大力发展职业教育绩效</w:t>
      </w:r>
    </w:p>
    <w:p>
      <w:pPr>
        <w:pStyle w:val="27"/>
      </w:pPr>
      <w:r>
        <w:t>绩效目标：职业学校办学水平和结合实力进一步提高，职业教育为全区经济社会发展服务的能力进一步增强；按国家标准科学、准确测算，及时拨付免学费资金和发放国家助学金。</w:t>
      </w:r>
    </w:p>
    <w:p>
      <w:pPr>
        <w:pStyle w:val="27"/>
      </w:pPr>
      <w:r>
        <w:t>绩效指标：各项工作完成情况达到100%；提升教师教学及备课质量，提高学生综合素质。</w:t>
      </w:r>
    </w:p>
    <w:p>
      <w:pPr>
        <w:pStyle w:val="27"/>
      </w:pPr>
      <w:r>
        <w:t>2、教师队伍建设绩效</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spacing w:line="500" w:lineRule="exact"/>
        <w:ind w:firstLine="560"/>
      </w:pPr>
      <w:r>
        <w:rPr>
          <w:rFonts w:eastAsia="方正仿宋_GBK"/>
          <w:color w:val="000000"/>
          <w:sz w:val="28"/>
        </w:rPr>
        <w:t>（三）工作保障措施</w:t>
      </w:r>
    </w:p>
    <w:p>
      <w:pPr>
        <w:pStyle w:val="28"/>
      </w:pPr>
      <w:r>
        <w:t>1、完善制度建设</w:t>
      </w:r>
    </w:p>
    <w:p>
      <w:pPr>
        <w:pStyle w:val="28"/>
      </w:pPr>
      <w:r>
        <w:t>完善工作制度，制定完善预算绩效管理制度、资金管理办法等，为全年预算绩效目标的实现奠定坚实的基础。</w:t>
      </w:r>
    </w:p>
    <w:p>
      <w:pPr>
        <w:pStyle w:val="28"/>
      </w:pPr>
      <w:r>
        <w:t>2、加强绩效运行监控</w:t>
      </w:r>
    </w:p>
    <w:p>
      <w:pPr>
        <w:pStyle w:val="28"/>
      </w:pPr>
      <w:r>
        <w:t>按要求开展绩效运行监控，发现问题及时采取措施，确保绩效目标如期保质实现。</w:t>
      </w:r>
    </w:p>
    <w:p>
      <w:pPr>
        <w:pStyle w:val="28"/>
      </w:pPr>
      <w:r>
        <w:t>3、做好绩效自评</w:t>
      </w:r>
    </w:p>
    <w:p>
      <w:pPr>
        <w:pStyle w:val="28"/>
      </w:pPr>
      <w:r>
        <w:t>按要求做好预算绩效自评工作，加强对重点预算项目的自评工作，通过对评价中发现的问题进行整改，提高财政资金使用效益。</w:t>
      </w:r>
    </w:p>
    <w:p>
      <w:pPr>
        <w:pStyle w:val="28"/>
      </w:pPr>
      <w:r>
        <w:t>4、规范财务资产管理</w:t>
      </w:r>
    </w:p>
    <w:p>
      <w:pPr>
        <w:pStyle w:val="28"/>
      </w:pPr>
      <w:r>
        <w:t>进一步完善财务管理制度，严格审批程序，规范审批流程，加强固定资产登记、使用和报废处置管理，做到支出合理，物尽其用。</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2"/>
        <w:gridCol w:w="709"/>
        <w:gridCol w:w="2633"/>
        <w:gridCol w:w="3250"/>
        <w:gridCol w:w="4181"/>
        <w:gridCol w:w="426"/>
        <w:gridCol w:w="708"/>
        <w:gridCol w:w="426"/>
        <w:gridCol w:w="191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5" w:hRule="atLeast"/>
          <w:tblHeader/>
          <w:jc w:val="center"/>
        </w:trPr>
        <w:tc>
          <w:tcPr>
            <w:tcW w:w="582"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lang w:eastAsia="zh-CN"/>
              </w:rPr>
            </w:pPr>
            <w:r>
              <w:rPr>
                <w:rFonts w:hint="eastAsia" w:ascii="微软雅黑" w:hAnsi="微软雅黑" w:eastAsia="微软雅黑"/>
                <w:b/>
                <w:bCs/>
                <w:color w:val="000000"/>
                <w:sz w:val="15"/>
                <w:szCs w:val="15"/>
              </w:rPr>
              <w:t>一级指标</w:t>
            </w:r>
          </w:p>
        </w:tc>
        <w:tc>
          <w:tcPr>
            <w:tcW w:w="709"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二级</w:t>
            </w:r>
          </w:p>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指标</w:t>
            </w:r>
          </w:p>
        </w:tc>
        <w:tc>
          <w:tcPr>
            <w:tcW w:w="2633"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三级指标</w:t>
            </w:r>
          </w:p>
        </w:tc>
        <w:tc>
          <w:tcPr>
            <w:tcW w:w="0" w:type="auto"/>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Style w:val="36"/>
                <w:rFonts w:hint="default"/>
              </w:rPr>
              <w:t>评</w:t>
            </w:r>
            <w:r>
              <w:rPr>
                <w:rStyle w:val="37"/>
                <w:rFonts w:hint="default"/>
              </w:rPr>
              <w:t>（</w:t>
            </w:r>
            <w:r>
              <w:rPr>
                <w:rStyle w:val="36"/>
                <w:rFonts w:hint="default"/>
              </w:rPr>
              <w:t>扣</w:t>
            </w:r>
            <w:r>
              <w:rPr>
                <w:rStyle w:val="37"/>
                <w:rFonts w:hint="default"/>
              </w:rPr>
              <w:t>）</w:t>
            </w:r>
            <w:r>
              <w:rPr>
                <w:rStyle w:val="36"/>
                <w:rFonts w:hint="default"/>
              </w:rPr>
              <w:t>分标准</w:t>
            </w:r>
          </w:p>
        </w:tc>
        <w:tc>
          <w:tcPr>
            <w:tcW w:w="4181"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绩效指标描述</w:t>
            </w:r>
          </w:p>
        </w:tc>
        <w:tc>
          <w:tcPr>
            <w:tcW w:w="1134" w:type="dxa"/>
            <w:gridSpan w:val="2"/>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指标值</w:t>
            </w:r>
          </w:p>
        </w:tc>
        <w:tc>
          <w:tcPr>
            <w:tcW w:w="2341" w:type="dxa"/>
            <w:gridSpan w:val="2"/>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指标值</w:t>
            </w:r>
          </w:p>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rPr>
                <w:rFonts w:ascii="微软雅黑" w:hAnsi="微软雅黑" w:eastAsia="微软雅黑" w:cs="宋体"/>
                <w:b/>
                <w:bCs/>
                <w:color w:val="000000"/>
                <w:sz w:val="15"/>
                <w:szCs w:val="15"/>
              </w:rPr>
            </w:pPr>
          </w:p>
        </w:tc>
        <w:tc>
          <w:tcPr>
            <w:tcW w:w="709" w:type="dxa"/>
            <w:vMerge w:val="continue"/>
            <w:shd w:val="clear" w:color="auto" w:fill="auto"/>
            <w:noWrap/>
            <w:tcMar>
              <w:top w:w="15" w:type="dxa"/>
              <w:left w:w="15" w:type="dxa"/>
              <w:bottom w:w="0" w:type="dxa"/>
              <w:right w:w="15" w:type="dxa"/>
            </w:tcMar>
            <w:vAlign w:val="center"/>
          </w:tcPr>
          <w:p>
            <w:pPr>
              <w:jc w:val="center"/>
              <w:rPr>
                <w:rFonts w:ascii="微软雅黑" w:hAnsi="微软雅黑" w:eastAsia="微软雅黑"/>
                <w:b/>
                <w:bCs/>
                <w:color w:val="000000"/>
                <w:sz w:val="15"/>
                <w:szCs w:val="15"/>
              </w:rPr>
            </w:pPr>
          </w:p>
        </w:tc>
        <w:tc>
          <w:tcPr>
            <w:tcW w:w="2633" w:type="dxa"/>
            <w:vMerge w:val="continue"/>
            <w:shd w:val="clear" w:color="auto" w:fill="auto"/>
            <w:tcMar>
              <w:top w:w="15" w:type="dxa"/>
              <w:left w:w="15" w:type="dxa"/>
              <w:bottom w:w="0" w:type="dxa"/>
              <w:right w:w="15" w:type="dxa"/>
            </w:tcMar>
            <w:vAlign w:val="center"/>
          </w:tcPr>
          <w:p>
            <w:pPr>
              <w:rPr>
                <w:rFonts w:ascii="微软雅黑" w:hAnsi="微软雅黑" w:eastAsia="微软雅黑" w:cs="宋体"/>
                <w:b/>
                <w:bCs/>
                <w:color w:val="000000"/>
                <w:sz w:val="15"/>
                <w:szCs w:val="15"/>
              </w:rPr>
            </w:pPr>
          </w:p>
        </w:tc>
        <w:tc>
          <w:tcPr>
            <w:tcW w:w="0" w:type="auto"/>
            <w:vMerge w:val="continue"/>
            <w:shd w:val="clear" w:color="auto" w:fill="auto"/>
            <w:tcMar>
              <w:top w:w="15" w:type="dxa"/>
              <w:left w:w="15" w:type="dxa"/>
              <w:bottom w:w="0" w:type="dxa"/>
              <w:right w:w="15" w:type="dxa"/>
            </w:tcMar>
            <w:vAlign w:val="center"/>
          </w:tcPr>
          <w:p>
            <w:pPr>
              <w:rPr>
                <w:rFonts w:ascii="微软雅黑" w:hAnsi="微软雅黑" w:eastAsia="微软雅黑" w:cs="宋体"/>
                <w:b/>
                <w:bCs/>
                <w:color w:val="000000"/>
                <w:sz w:val="15"/>
                <w:szCs w:val="15"/>
              </w:rPr>
            </w:pPr>
          </w:p>
        </w:tc>
        <w:tc>
          <w:tcPr>
            <w:tcW w:w="4181" w:type="dxa"/>
            <w:vMerge w:val="continue"/>
            <w:shd w:val="clear" w:color="auto" w:fill="auto"/>
            <w:tcMar>
              <w:top w:w="15" w:type="dxa"/>
              <w:left w:w="15" w:type="dxa"/>
              <w:bottom w:w="0" w:type="dxa"/>
              <w:right w:w="15" w:type="dxa"/>
            </w:tcMar>
            <w:vAlign w:val="center"/>
          </w:tcPr>
          <w:p>
            <w:pPr>
              <w:rPr>
                <w:rFonts w:ascii="微软雅黑" w:hAnsi="微软雅黑" w:eastAsia="微软雅黑" w:cs="宋体"/>
                <w:b/>
                <w:bCs/>
                <w:color w:val="000000"/>
                <w:sz w:val="15"/>
                <w:szCs w:val="15"/>
              </w:rPr>
            </w:pP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宋体"/>
                <w:b/>
                <w:bCs/>
                <w:color w:val="000000"/>
                <w:sz w:val="15"/>
                <w:szCs w:val="15"/>
              </w:rPr>
            </w:pPr>
            <w:r>
              <w:rPr>
                <w:rFonts w:hint="eastAsia" w:ascii="微软雅黑" w:hAnsi="微软雅黑" w:eastAsia="微软雅黑"/>
                <w:b/>
                <w:bCs/>
                <w:color w:val="000000"/>
                <w:sz w:val="15"/>
                <w:szCs w:val="15"/>
              </w:rPr>
              <w:t>符号</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值</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单位</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lang w:eastAsia="zh-CN"/>
              </w:rPr>
              <w:t>单位</w:t>
            </w:r>
            <w:r>
              <w:rPr>
                <w:rFonts w:hint="eastAsia" w:ascii="微软雅黑" w:hAnsi="微软雅黑" w:eastAsia="微软雅黑"/>
                <w:color w:val="000000"/>
                <w:sz w:val="15"/>
                <w:szCs w:val="15"/>
              </w:rPr>
              <w:t>产出</w:t>
            </w: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数量</w:t>
            </w:r>
          </w:p>
        </w:tc>
        <w:tc>
          <w:tcPr>
            <w:tcW w:w="2633" w:type="dxa"/>
            <w:shd w:val="clear" w:color="auto" w:fill="auto"/>
            <w:tcMar>
              <w:top w:w="15" w:type="dxa"/>
              <w:left w:w="15" w:type="dxa"/>
              <w:bottom w:w="0" w:type="dxa"/>
              <w:right w:w="15" w:type="dxa"/>
            </w:tcMar>
            <w:vAlign w:val="center"/>
          </w:tcPr>
          <w:p>
            <w:pPr>
              <w:rPr>
                <w:rFonts w:ascii="宋体" w:hAnsi="宋体" w:eastAsia="宋体"/>
                <w:color w:val="000000"/>
                <w:sz w:val="15"/>
                <w:szCs w:val="15"/>
              </w:rPr>
            </w:pPr>
            <w:r>
              <w:rPr>
                <w:rFonts w:hint="eastAsia" w:ascii="宋体" w:hAnsi="宋体" w:eastAsia="宋体" w:cs="宋体"/>
                <w:color w:val="000000"/>
                <w:sz w:val="15"/>
                <w:szCs w:val="15"/>
              </w:rPr>
              <w:t>申请生均公用经费的学生人数</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6"/>
                <w:szCs w:val="16"/>
              </w:rPr>
            </w:pPr>
            <w:r>
              <w:rPr>
                <w:rStyle w:val="38"/>
                <w:rFonts w:hint="default"/>
              </w:rPr>
              <w:t>每未完成</w:t>
            </w:r>
            <w:r>
              <w:rPr>
                <w:rStyle w:val="39"/>
                <w:rFonts w:hint="default" w:hAnsi="微软雅黑"/>
              </w:rPr>
              <w:t>1</w:t>
            </w:r>
            <w:r>
              <w:rPr>
                <w:rStyle w:val="38"/>
                <w:rFonts w:hint="default"/>
              </w:rPr>
              <w:t>人</w:t>
            </w:r>
            <w:r>
              <w:rPr>
                <w:rStyle w:val="40"/>
                <w:rFonts w:hint="default"/>
              </w:rPr>
              <w:t>，</w:t>
            </w:r>
            <w:r>
              <w:rPr>
                <w:rStyle w:val="38"/>
                <w:rFonts w:hint="default"/>
              </w:rPr>
              <w:t>扣减分值</w:t>
            </w:r>
            <w:r>
              <w:rPr>
                <w:rStyle w:val="39"/>
                <w:rFonts w:hint="default" w:hAnsi="微软雅黑"/>
              </w:rPr>
              <w:t>1%</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按文件要求申请生均公用经费的学生人数</w:t>
            </w:r>
          </w:p>
        </w:tc>
        <w:tc>
          <w:tcPr>
            <w:tcW w:w="426" w:type="dxa"/>
            <w:shd w:val="clear" w:color="auto" w:fill="auto"/>
            <w:tcMar>
              <w:top w:w="15" w:type="dxa"/>
              <w:left w:w="15" w:type="dxa"/>
              <w:bottom w:w="0" w:type="dxa"/>
              <w:right w:w="15" w:type="dxa"/>
            </w:tcMar>
            <w:vAlign w:val="center"/>
          </w:tcPr>
          <w:p>
            <w:pPr>
              <w:jc w:val="center"/>
              <w:rPr>
                <w:rFonts w:ascii="方正书宋_GBK" w:hAnsi="宋体" w:eastAsia="方正书宋_GBK"/>
                <w:color w:val="000000"/>
                <w:sz w:val="15"/>
                <w:szCs w:val="15"/>
              </w:rPr>
            </w:pPr>
            <w:r>
              <w:rPr>
                <w:rFonts w:hint="eastAsia" w:ascii="方正书宋_GBK" w:eastAsia="方正书宋_GBK"/>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15"/>
                <w:szCs w:val="15"/>
              </w:rPr>
            </w:pPr>
            <w:r>
              <w:rPr>
                <w:rFonts w:hint="eastAsia" w:ascii="方正书宋_GBK" w:eastAsia="方正书宋_GBK"/>
                <w:color w:val="000000"/>
                <w:sz w:val="15"/>
                <w:szCs w:val="15"/>
              </w:rPr>
              <w:t>2124</w:t>
            </w:r>
          </w:p>
        </w:tc>
        <w:tc>
          <w:tcPr>
            <w:tcW w:w="426" w:type="dxa"/>
            <w:shd w:val="clear" w:color="auto" w:fill="auto"/>
            <w:tcMar>
              <w:top w:w="15" w:type="dxa"/>
              <w:left w:w="15" w:type="dxa"/>
              <w:bottom w:w="0" w:type="dxa"/>
              <w:right w:w="15" w:type="dxa"/>
            </w:tcMar>
            <w:vAlign w:val="center"/>
          </w:tcPr>
          <w:p>
            <w:pPr>
              <w:jc w:val="center"/>
              <w:rPr>
                <w:rFonts w:ascii="宋体" w:eastAsia="宋体"/>
                <w:color w:val="000000"/>
                <w:sz w:val="15"/>
                <w:szCs w:val="15"/>
              </w:rPr>
            </w:pPr>
            <w:r>
              <w:rPr>
                <w:rStyle w:val="41"/>
                <w:rFonts w:hint="default"/>
              </w:rPr>
              <w:t>人</w:t>
            </w:r>
          </w:p>
        </w:tc>
        <w:tc>
          <w:tcPr>
            <w:tcW w:w="1915" w:type="dxa"/>
            <w:shd w:val="clear" w:color="auto" w:fill="auto"/>
            <w:tcMar>
              <w:top w:w="15" w:type="dxa"/>
              <w:left w:w="15" w:type="dxa"/>
              <w:bottom w:w="0" w:type="dxa"/>
              <w:right w:w="15" w:type="dxa"/>
            </w:tcMar>
            <w:vAlign w:val="center"/>
          </w:tcPr>
          <w:p>
            <w:pPr>
              <w:jc w:val="center"/>
              <w:rPr>
                <w:color w:val="000000"/>
                <w:sz w:val="15"/>
                <w:szCs w:val="15"/>
              </w:rPr>
            </w:pPr>
            <w:r>
              <w:rPr>
                <w:rStyle w:val="41"/>
                <w:rFonts w:hint="default"/>
              </w:rPr>
              <w:t>（冀财教</w:t>
            </w:r>
            <w:r>
              <w:rPr>
                <w:rStyle w:val="42"/>
                <w:rFonts w:eastAsia="方正书宋_GBK"/>
              </w:rPr>
              <w:t>[2016]1</w:t>
            </w:r>
            <w:r>
              <w:rPr>
                <w:rStyle w:val="41"/>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数量</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6"/>
                <w:szCs w:val="16"/>
              </w:rPr>
            </w:pPr>
            <w:r>
              <w:rPr>
                <w:rFonts w:hint="eastAsia" w:ascii="微软雅黑" w:hAnsi="微软雅黑" w:eastAsia="微软雅黑"/>
                <w:color w:val="000000"/>
                <w:sz w:val="16"/>
                <w:szCs w:val="16"/>
              </w:rPr>
              <w:t>享受免学费的学生人数</w:t>
            </w:r>
          </w:p>
        </w:tc>
        <w:tc>
          <w:tcPr>
            <w:tcW w:w="0" w:type="auto"/>
            <w:shd w:val="clear" w:color="auto" w:fill="auto"/>
            <w:tcMar>
              <w:top w:w="15" w:type="dxa"/>
              <w:left w:w="15" w:type="dxa"/>
              <w:bottom w:w="0" w:type="dxa"/>
              <w:right w:w="15" w:type="dxa"/>
            </w:tcMar>
          </w:tcPr>
          <w:p>
            <w:pPr>
              <w:rPr>
                <w:rFonts w:ascii="宋体" w:hAnsi="宋体" w:eastAsia="宋体"/>
                <w:color w:val="000000"/>
                <w:sz w:val="16"/>
                <w:szCs w:val="16"/>
              </w:rPr>
            </w:pPr>
            <w:r>
              <w:rPr>
                <w:rStyle w:val="43"/>
                <w:rFonts w:hint="default"/>
              </w:rPr>
              <w:t>未完成</w:t>
            </w:r>
            <w:r>
              <w:rPr>
                <w:rStyle w:val="44"/>
                <w:rFonts w:eastAsia="宋体"/>
              </w:rPr>
              <w:t>1</w:t>
            </w:r>
            <w:r>
              <w:rPr>
                <w:rStyle w:val="43"/>
                <w:rFonts w:hint="default"/>
              </w:rPr>
              <w:t>人，扣减分值</w:t>
            </w:r>
            <w:r>
              <w:rPr>
                <w:rStyle w:val="44"/>
                <w:rFonts w:eastAsia="宋体"/>
              </w:rPr>
              <w:t>1%</w:t>
            </w:r>
          </w:p>
        </w:tc>
        <w:tc>
          <w:tcPr>
            <w:tcW w:w="4181" w:type="dxa"/>
            <w:shd w:val="clear" w:color="auto" w:fill="auto"/>
            <w:tcMar>
              <w:top w:w="15" w:type="dxa"/>
              <w:left w:w="15" w:type="dxa"/>
              <w:bottom w:w="0" w:type="dxa"/>
              <w:right w:w="15" w:type="dxa"/>
            </w:tcMar>
            <w:vAlign w:val="center"/>
          </w:tcPr>
          <w:p>
            <w:pPr>
              <w:rPr>
                <w:color w:val="000000"/>
                <w:sz w:val="16"/>
                <w:szCs w:val="16"/>
              </w:rPr>
            </w:pPr>
            <w:r>
              <w:rPr>
                <w:rFonts w:hint="eastAsia" w:ascii="宋体" w:hAnsi="宋体" w:eastAsia="宋体" w:cs="宋体"/>
                <w:color w:val="000000"/>
                <w:sz w:val="16"/>
                <w:szCs w:val="16"/>
              </w:rPr>
              <w:t>按文件要求享受免学费的学生人数</w:t>
            </w:r>
          </w:p>
        </w:tc>
        <w:tc>
          <w:tcPr>
            <w:tcW w:w="426" w:type="dxa"/>
            <w:shd w:val="clear" w:color="auto" w:fill="auto"/>
            <w:tcMar>
              <w:top w:w="15" w:type="dxa"/>
              <w:left w:w="15" w:type="dxa"/>
              <w:bottom w:w="0" w:type="dxa"/>
              <w:right w:w="15" w:type="dxa"/>
            </w:tcMar>
            <w:vAlign w:val="center"/>
          </w:tcPr>
          <w:p>
            <w:pPr>
              <w:jc w:val="center"/>
              <w:rPr>
                <w:color w:val="000000"/>
                <w:sz w:val="16"/>
                <w:szCs w:val="16"/>
              </w:rPr>
            </w:pPr>
            <w:r>
              <w:rPr>
                <w:color w:val="000000"/>
                <w:sz w:val="16"/>
                <w:szCs w:val="16"/>
              </w:rPr>
              <w:t>=</w:t>
            </w:r>
          </w:p>
        </w:tc>
        <w:tc>
          <w:tcPr>
            <w:tcW w:w="708" w:type="dxa"/>
            <w:shd w:val="clear" w:color="auto" w:fill="auto"/>
            <w:tcMar>
              <w:top w:w="15" w:type="dxa"/>
              <w:left w:w="15" w:type="dxa"/>
              <w:bottom w:w="0" w:type="dxa"/>
              <w:right w:w="15" w:type="dxa"/>
            </w:tcMar>
            <w:vAlign w:val="center"/>
          </w:tcPr>
          <w:p>
            <w:pPr>
              <w:jc w:val="center"/>
              <w:rPr>
                <w:color w:val="000000"/>
                <w:sz w:val="16"/>
                <w:szCs w:val="16"/>
              </w:rPr>
            </w:pPr>
            <w:r>
              <w:rPr>
                <w:color w:val="000000"/>
                <w:sz w:val="16"/>
                <w:szCs w:val="16"/>
              </w:rPr>
              <w:t>2000</w:t>
            </w:r>
          </w:p>
        </w:tc>
        <w:tc>
          <w:tcPr>
            <w:tcW w:w="426" w:type="dxa"/>
            <w:shd w:val="clear" w:color="auto" w:fill="auto"/>
            <w:tcMar>
              <w:top w:w="15" w:type="dxa"/>
              <w:left w:w="15" w:type="dxa"/>
              <w:bottom w:w="0" w:type="dxa"/>
              <w:right w:w="15" w:type="dxa"/>
            </w:tcMar>
            <w:vAlign w:val="center"/>
          </w:tcPr>
          <w:p>
            <w:pPr>
              <w:jc w:val="center"/>
              <w:rPr>
                <w:rFonts w:ascii="宋体" w:hAnsi="宋体" w:cs="宋体"/>
                <w:color w:val="000000"/>
                <w:sz w:val="16"/>
                <w:szCs w:val="16"/>
              </w:rPr>
            </w:pPr>
            <w:r>
              <w:rPr>
                <w:rFonts w:hint="eastAsia" w:ascii="宋体" w:hAnsi="宋体" w:eastAsia="宋体" w:cs="宋体"/>
                <w:color w:val="000000"/>
                <w:sz w:val="16"/>
                <w:szCs w:val="16"/>
              </w:rPr>
              <w:t>人</w:t>
            </w:r>
          </w:p>
        </w:tc>
        <w:tc>
          <w:tcPr>
            <w:tcW w:w="1915" w:type="dxa"/>
            <w:shd w:val="clear" w:color="auto" w:fill="auto"/>
            <w:tcMar>
              <w:top w:w="15" w:type="dxa"/>
              <w:left w:w="15" w:type="dxa"/>
              <w:bottom w:w="0" w:type="dxa"/>
              <w:right w:w="15" w:type="dxa"/>
            </w:tcMar>
            <w:vAlign w:val="center"/>
          </w:tcPr>
          <w:p>
            <w:pPr>
              <w:jc w:val="center"/>
              <w:rPr>
                <w:color w:val="000000"/>
                <w:sz w:val="16"/>
                <w:szCs w:val="16"/>
              </w:rPr>
            </w:pPr>
            <w:r>
              <w:rPr>
                <w:rStyle w:val="45"/>
                <w:rFonts w:hint="default"/>
              </w:rPr>
              <w:t>廊财教</w:t>
            </w:r>
            <w:r>
              <w:rPr>
                <w:rStyle w:val="46"/>
                <w:rFonts w:eastAsia="宋体"/>
              </w:rPr>
              <w:t>[2021]48</w:t>
            </w:r>
            <w:r>
              <w:rPr>
                <w:rStyle w:val="45"/>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数量</w:t>
            </w:r>
          </w:p>
        </w:tc>
        <w:tc>
          <w:tcPr>
            <w:tcW w:w="2633"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买微机及其配套设施数量</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完成实施总量得权重分的100%，未达成1条扣减权重分的10%</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新建微机室所需配置微机及其配套设施数量</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67</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套</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廊坊市第四职业中学关于新建微机教室的请示和教育费附加管理办法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数量</w:t>
            </w:r>
          </w:p>
        </w:tc>
        <w:tc>
          <w:tcPr>
            <w:tcW w:w="2633"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助学金领取标准的学生人数</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未完成1人，扣减分值1%</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按文件要求符合助学金领取标准的学生人数</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67</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人</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廊财教[2021]44号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数量</w:t>
            </w:r>
          </w:p>
        </w:tc>
        <w:tc>
          <w:tcPr>
            <w:tcW w:w="2633"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助学金领取标准的学生人数</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未完成1人，扣减分值1%</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按文件要求符合助学金领取标准的学生人数</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60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人</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冀财教[2020]87号）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质量</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生均公用经费使用的合规率</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达到指标目标值得满分，达到80%目标值得权重分的50%，低于80%不得分。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生均公用经费使用符合文件中的相关规定</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ascii="微软雅黑" w:hAnsi="微软雅黑" w:eastAsia="微软雅黑"/>
                <w:color w:val="000000"/>
                <w:sz w:val="15"/>
                <w:szCs w:val="15"/>
              </w:rPr>
              <w:t>（冀财教[2016]1号）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质量</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免收学费的学生认定的准确率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达到指标目标值得满分，达到90%目标值得权重分的50%，低于90%不得分。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对于符合免收学费的学生认定符合文件规定的标准</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ascii="微软雅黑" w:hAnsi="微软雅黑" w:eastAsia="微软雅黑"/>
                <w:color w:val="000000"/>
                <w:sz w:val="15"/>
                <w:szCs w:val="15"/>
              </w:rPr>
              <w:t>廊财教[2021]48号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质量</w:t>
            </w:r>
          </w:p>
        </w:tc>
        <w:tc>
          <w:tcPr>
            <w:tcW w:w="2633"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验收合格率</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达到目标得权重分的100%，每降低10%扣减权重分的10%，低于60%不得分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考察新建微机教室整体验收合格情况</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质量检测合格依据。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质量</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领取助学金的学生条件审核的准确率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要求全部符合条件，否则不得分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对于符合领取助学金的学生条件审核符合文件规定的标准</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rPr>
                <w:rFonts w:ascii="微软雅黑" w:hAnsi="微软雅黑" w:eastAsia="微软雅黑" w:cs="Times New Roman"/>
                <w:color w:val="000000"/>
                <w:sz w:val="15"/>
                <w:szCs w:val="15"/>
              </w:rPr>
            </w:pPr>
            <w:r>
              <w:rPr>
                <w:rFonts w:ascii="微软雅黑" w:hAnsi="微软雅黑" w:eastAsia="微软雅黑"/>
                <w:color w:val="000000"/>
                <w:sz w:val="15"/>
                <w:szCs w:val="15"/>
              </w:rPr>
              <w:t>廊财教[2021]44号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质量</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领取助学金的学生条件审核的准确率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要求全部符合条件，否则不得分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对于符合领取助学金的学生条件审核符合文件规定的标准</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rPr>
                <w:rFonts w:ascii="微软雅黑" w:hAnsi="微软雅黑" w:eastAsia="微软雅黑" w:cs="Times New Roman"/>
                <w:color w:val="000000"/>
                <w:sz w:val="15"/>
                <w:szCs w:val="15"/>
              </w:rPr>
            </w:pPr>
            <w:r>
              <w:rPr>
                <w:rFonts w:ascii="微软雅黑" w:hAnsi="微软雅黑" w:eastAsia="微软雅黑"/>
                <w:color w:val="000000"/>
                <w:sz w:val="15"/>
                <w:szCs w:val="15"/>
              </w:rPr>
              <w:t>冀财教[2020]87号）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时效</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用于保障学校正常运转项目完成及时率</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及时保障得满分，否则不得分。</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使用生均公用经费，用于保障学校正常运转的项目完成情况</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按进度及时完成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时效</w:t>
            </w:r>
          </w:p>
        </w:tc>
        <w:tc>
          <w:tcPr>
            <w:tcW w:w="2633"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免收学生学费的及时率</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时保障得满分，否则不得分。</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于符合免收学费的学生在对应的学期及时减免</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按进度及时完成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时效</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微机教室构建时效</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color w:val="000000"/>
                <w:sz w:val="15"/>
                <w:szCs w:val="15"/>
              </w:rPr>
              <w:t>及时保障得满分</w:t>
            </w:r>
            <w:r>
              <w:rPr>
                <w:rFonts w:ascii="微软雅黑" w:hAnsi="微软雅黑" w:eastAsia="微软雅黑" w:cs="Times New Roman"/>
                <w:color w:val="000000"/>
                <w:sz w:val="15"/>
                <w:szCs w:val="15"/>
              </w:rPr>
              <w:t>，</w:t>
            </w:r>
            <w:r>
              <w:rPr>
                <w:rFonts w:ascii="微软雅黑" w:hAnsi="微软雅黑"/>
                <w:color w:val="000000"/>
                <w:sz w:val="15"/>
                <w:szCs w:val="15"/>
              </w:rPr>
              <w:t>否则不得分</w:t>
            </w:r>
            <w:r>
              <w:rPr>
                <w:rFonts w:ascii="微软雅黑" w:hAnsi="微软雅黑" w:eastAsia="微软雅黑" w:cs="Times New Roman"/>
                <w:color w:val="000000"/>
                <w:sz w:val="15"/>
                <w:szCs w:val="15"/>
              </w:rPr>
              <w:t>。</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考察微机教室完成构建和验收的及时性</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文字描述</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olor w:val="000000"/>
                <w:sz w:val="15"/>
                <w:szCs w:val="15"/>
              </w:rPr>
              <w:t>及时</w:t>
            </w:r>
          </w:p>
        </w:tc>
        <w:tc>
          <w:tcPr>
            <w:tcW w:w="1915"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按进度及时完成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时效</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学生助学金的发放及时率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对于符合领取助学金条件的学生在对应的学期及时补助资金</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按进度及时完成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时效</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学生助学金的发放及时率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对于符合领取助学金条件的学生在对应的学期及时补助资金</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按进度及时完成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成本</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color w:val="000000"/>
                <w:sz w:val="15"/>
                <w:szCs w:val="15"/>
              </w:rPr>
              <w:t>使用生均公用经费</w:t>
            </w:r>
            <w:r>
              <w:rPr>
                <w:rFonts w:ascii="微软雅黑" w:hAnsi="微软雅黑" w:eastAsia="微软雅黑" w:cs="Times New Roman"/>
                <w:color w:val="000000"/>
                <w:sz w:val="15"/>
                <w:szCs w:val="15"/>
              </w:rPr>
              <w:t>，</w:t>
            </w:r>
            <w:r>
              <w:rPr>
                <w:rFonts w:ascii="微软雅黑" w:hAnsi="微软雅黑"/>
                <w:color w:val="000000"/>
                <w:sz w:val="15"/>
                <w:szCs w:val="15"/>
              </w:rPr>
              <w:t>用于保障学校正常运转的项目支出成本</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及时保障得满分，否则不得分。</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使用生均公用经费，用于保障学校正常运转的项目完成情况</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元</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（冀财教[2016]1号）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成本</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预算资金申请的每名学生免除的学费总额区级财政承担金额</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及时保障得满分，否则不得分。</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预算资金申请的每名学生免除的总额区级财政承担金额等于2000元/生</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2000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元</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廊财教[2021]48号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lang w:eastAsia="zh-CN"/>
              </w:rPr>
            </w:pPr>
            <w:r>
              <w:rPr>
                <w:rFonts w:hint="eastAsia" w:ascii="微软雅黑" w:hAnsi="微软雅黑" w:eastAsia="微软雅黑"/>
                <w:color w:val="000000"/>
                <w:sz w:val="15"/>
                <w:szCs w:val="15"/>
                <w:lang w:eastAsia="zh-CN"/>
              </w:rPr>
              <w:t>成本</w:t>
            </w:r>
          </w:p>
        </w:tc>
        <w:tc>
          <w:tcPr>
            <w:tcW w:w="2633" w:type="dxa"/>
            <w:shd w:val="clear" w:color="auto" w:fill="auto"/>
            <w:tcMar>
              <w:top w:w="15" w:type="dxa"/>
              <w:left w:w="15" w:type="dxa"/>
              <w:bottom w:w="0" w:type="dxa"/>
              <w:right w:w="15" w:type="dxa"/>
            </w:tcMar>
          </w:tcPr>
          <w:p>
            <w:pP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项目完成成本</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经费实际支出数≤预算安排</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考察新建微机教室资金使用情况</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70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万</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廊坊市第四职业中学关于新建微机教室的请示和教育费附加管理办法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成本</w:t>
            </w:r>
          </w:p>
        </w:tc>
        <w:tc>
          <w:tcPr>
            <w:tcW w:w="2633"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名学生助学金总额中的区级财政承担金额</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经费实际支出数≤预算安排</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每名学生助学金总额中的区级财政承担金额等于400元/生</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400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元</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廊财教[2021]44号）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成本</w:t>
            </w:r>
          </w:p>
        </w:tc>
        <w:tc>
          <w:tcPr>
            <w:tcW w:w="2633"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名学生助学金总额中的区级财政承担金额</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经费实际支出数≤预算安排</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每名学生助学金总额中的区级财政承担金额等于400元/生</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400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元</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廊财教[2021]44号）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lang w:eastAsia="zh-CN"/>
              </w:rPr>
            </w:pPr>
            <w:r>
              <w:rPr>
                <w:rFonts w:hint="eastAsia" w:ascii="微软雅黑" w:hAnsi="微软雅黑" w:eastAsia="微软雅黑"/>
                <w:color w:val="000000"/>
                <w:sz w:val="15"/>
                <w:szCs w:val="15"/>
                <w:lang w:eastAsia="zh-CN"/>
              </w:rPr>
              <w:t>单位效果</w:t>
            </w: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社会</w:t>
            </w:r>
          </w:p>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效益</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支持现代职业教育高质量发展</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该资金用于学校正常运转，改善高职院校基本办学条件，支持现代职业教育高质量发展</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文字描述</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支持</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（冀财教[2016]1号）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社会</w:t>
            </w:r>
          </w:p>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效益</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入学率和巩固率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提高中职学校的入学率和巩固率</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90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ascii="微软雅黑" w:hAnsi="微软雅黑" w:eastAsia="微软雅黑"/>
                <w:color w:val="000000"/>
                <w:sz w:val="15"/>
                <w:szCs w:val="15"/>
              </w:rPr>
              <w:t>冀财教【2012】224号文件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社会效益</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支持现代职业教育高质量发展</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color w:val="000000"/>
                <w:sz w:val="15"/>
                <w:szCs w:val="15"/>
              </w:rPr>
              <w:t>及时保障得满分</w:t>
            </w:r>
            <w:r>
              <w:rPr>
                <w:rFonts w:ascii="微软雅黑" w:hAnsi="微软雅黑" w:eastAsia="微软雅黑" w:cs="Times New Roman"/>
                <w:color w:val="000000"/>
                <w:sz w:val="15"/>
                <w:szCs w:val="15"/>
              </w:rPr>
              <w:t>，</w:t>
            </w:r>
            <w:r>
              <w:rPr>
                <w:rFonts w:ascii="微软雅黑" w:hAnsi="微软雅黑"/>
                <w:color w:val="000000"/>
                <w:sz w:val="15"/>
                <w:szCs w:val="15"/>
              </w:rPr>
              <w:t>否则不得分</w:t>
            </w:r>
            <w:r>
              <w:rPr>
                <w:rFonts w:ascii="微软雅黑" w:hAnsi="微软雅黑" w:eastAsia="微软雅黑" w:cs="Times New Roman"/>
                <w:color w:val="000000"/>
                <w:sz w:val="15"/>
                <w:szCs w:val="15"/>
              </w:rPr>
              <w:t>。</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color w:val="000000"/>
                <w:sz w:val="15"/>
                <w:szCs w:val="15"/>
              </w:rPr>
              <w:t>该资金用于学校正常运转</w:t>
            </w:r>
            <w:r>
              <w:rPr>
                <w:rFonts w:ascii="微软雅黑" w:hAnsi="微软雅黑" w:eastAsia="微软雅黑" w:cs="Times New Roman"/>
                <w:color w:val="000000"/>
                <w:sz w:val="15"/>
                <w:szCs w:val="15"/>
              </w:rPr>
              <w:t>，</w:t>
            </w:r>
            <w:r>
              <w:rPr>
                <w:rFonts w:ascii="微软雅黑" w:hAnsi="微软雅黑"/>
                <w:color w:val="000000"/>
                <w:sz w:val="15"/>
                <w:szCs w:val="15"/>
              </w:rPr>
              <w:t>改善高职院校基本办学条件</w:t>
            </w:r>
            <w:r>
              <w:rPr>
                <w:rFonts w:ascii="微软雅黑" w:hAnsi="微软雅黑" w:eastAsia="微软雅黑" w:cs="Times New Roman"/>
                <w:color w:val="000000"/>
                <w:sz w:val="15"/>
                <w:szCs w:val="15"/>
              </w:rPr>
              <w:t>，</w:t>
            </w:r>
            <w:r>
              <w:rPr>
                <w:rFonts w:ascii="微软雅黑" w:hAnsi="微软雅黑"/>
                <w:color w:val="000000"/>
                <w:sz w:val="15"/>
                <w:szCs w:val="15"/>
              </w:rPr>
              <w:t>支持现代职业教育高质量发展</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文字描述</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支持</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坊市第四职业中学关于新建微机教室的请示和教育费附加管理办法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社会效益</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家庭困难学生入学率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color w:val="000000"/>
                <w:sz w:val="15"/>
                <w:szCs w:val="15"/>
              </w:rPr>
              <w:t>及时保障得满分</w:t>
            </w:r>
            <w:r>
              <w:rPr>
                <w:rFonts w:ascii="微软雅黑" w:hAnsi="微软雅黑" w:eastAsia="微软雅黑" w:cs="Times New Roman"/>
                <w:color w:val="000000"/>
                <w:sz w:val="15"/>
                <w:szCs w:val="15"/>
              </w:rPr>
              <w:t>，</w:t>
            </w:r>
            <w:r>
              <w:rPr>
                <w:rFonts w:ascii="微软雅黑" w:hAnsi="微软雅黑"/>
                <w:color w:val="000000"/>
                <w:sz w:val="15"/>
                <w:szCs w:val="15"/>
              </w:rPr>
              <w:t>否则不得分</w:t>
            </w:r>
            <w:r>
              <w:rPr>
                <w:rFonts w:ascii="微软雅黑" w:hAnsi="微软雅黑" w:eastAsia="微软雅黑" w:cs="Times New Roman"/>
                <w:color w:val="000000"/>
                <w:sz w:val="15"/>
                <w:szCs w:val="15"/>
              </w:rPr>
              <w:t>。</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保证家庭困难学生入学率</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98</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ascii="微软雅黑" w:hAnsi="微软雅黑" w:eastAsia="微软雅黑"/>
                <w:color w:val="000000"/>
                <w:sz w:val="15"/>
                <w:szCs w:val="15"/>
              </w:rPr>
              <w:t>冀财教【2012】224号文件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社会效益</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家庭困难学生入学率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color w:val="000000"/>
                <w:sz w:val="15"/>
                <w:szCs w:val="15"/>
              </w:rPr>
              <w:t>及时保障得满分</w:t>
            </w:r>
            <w:r>
              <w:rPr>
                <w:rFonts w:ascii="微软雅黑" w:hAnsi="微软雅黑" w:eastAsia="微软雅黑" w:cs="Times New Roman"/>
                <w:color w:val="000000"/>
                <w:sz w:val="15"/>
                <w:szCs w:val="15"/>
              </w:rPr>
              <w:t>，</w:t>
            </w:r>
            <w:r>
              <w:rPr>
                <w:rFonts w:ascii="微软雅黑" w:hAnsi="微软雅黑"/>
                <w:color w:val="000000"/>
                <w:sz w:val="15"/>
                <w:szCs w:val="15"/>
              </w:rPr>
              <w:t>否则不得分</w:t>
            </w:r>
            <w:r>
              <w:rPr>
                <w:rFonts w:ascii="微软雅黑" w:hAnsi="微软雅黑" w:eastAsia="微软雅黑" w:cs="Times New Roman"/>
                <w:color w:val="000000"/>
                <w:sz w:val="15"/>
                <w:szCs w:val="15"/>
              </w:rPr>
              <w:t>。</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保证家庭困难学生入学率</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98</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ascii="微软雅黑" w:hAnsi="微软雅黑" w:eastAsia="微软雅黑"/>
                <w:color w:val="000000"/>
                <w:sz w:val="15"/>
                <w:szCs w:val="15"/>
              </w:rPr>
              <w:t>冀财教【2012】224号文件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经济</w:t>
            </w:r>
          </w:p>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效益</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s="Times New Roman"/>
                <w:color w:val="000000"/>
                <w:sz w:val="15"/>
                <w:szCs w:val="15"/>
              </w:rPr>
              <w:t>提高贫困学生入学率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达到指标目标值得满分，每下降1%，扣权重分值的2.5%，低于60%不得分。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color w:val="000000"/>
                <w:sz w:val="15"/>
                <w:szCs w:val="15"/>
              </w:rPr>
              <w:t>减轻</w:t>
            </w:r>
            <w:r>
              <w:rPr>
                <w:rFonts w:ascii="微软雅黑" w:hAnsi="微软雅黑" w:eastAsia="微软雅黑"/>
                <w:color w:val="000000"/>
                <w:sz w:val="15"/>
                <w:szCs w:val="15"/>
              </w:rPr>
              <w:t>2000</w:t>
            </w:r>
            <w:r>
              <w:rPr>
                <w:rFonts w:ascii="微软雅黑" w:hAnsi="微软雅黑"/>
                <w:color w:val="000000"/>
                <w:sz w:val="15"/>
                <w:szCs w:val="15"/>
              </w:rPr>
              <w:t>名学生家长经济负担</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ascii="微软雅黑" w:hAnsi="微软雅黑" w:eastAsia="微软雅黑"/>
                <w:color w:val="000000"/>
                <w:sz w:val="15"/>
                <w:szCs w:val="15"/>
              </w:rPr>
              <w:t>冀财教【2012】224号文件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经济效益</w:t>
            </w:r>
          </w:p>
        </w:tc>
        <w:tc>
          <w:tcPr>
            <w:tcW w:w="2633"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家庭困难学生入学率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color w:val="000000"/>
                <w:sz w:val="15"/>
                <w:szCs w:val="15"/>
              </w:rPr>
              <w:t>达到指标目标值得满分</w:t>
            </w:r>
            <w:r>
              <w:rPr>
                <w:rFonts w:ascii="微软雅黑" w:hAnsi="微软雅黑" w:eastAsia="微软雅黑" w:cs="Times New Roman"/>
                <w:color w:val="000000"/>
                <w:sz w:val="15"/>
                <w:szCs w:val="15"/>
              </w:rPr>
              <w:t>，</w:t>
            </w:r>
            <w:r>
              <w:rPr>
                <w:rFonts w:ascii="微软雅黑" w:hAnsi="微软雅黑"/>
                <w:color w:val="000000"/>
                <w:sz w:val="15"/>
                <w:szCs w:val="15"/>
              </w:rPr>
              <w:t>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保证家庭困难学生入学率</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元</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冀财教【2012】224号文件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微软雅黑" w:hAnsi="微软雅黑" w:eastAsia="微软雅黑" w:cs="宋体"/>
                <w:color w:val="000000"/>
                <w:sz w:val="15"/>
                <w:szCs w:val="15"/>
              </w:rPr>
            </w:pPr>
          </w:p>
        </w:tc>
        <w:tc>
          <w:tcPr>
            <w:tcW w:w="709"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满意度</w:t>
            </w:r>
          </w:p>
        </w:tc>
        <w:tc>
          <w:tcPr>
            <w:tcW w:w="2633" w:type="dxa"/>
            <w:shd w:val="clear" w:color="auto" w:fill="auto"/>
            <w:noWrap/>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服务对象满意度指标</w:t>
            </w:r>
          </w:p>
        </w:tc>
        <w:tc>
          <w:tcPr>
            <w:tcW w:w="0" w:type="auto"/>
            <w:shd w:val="clear" w:color="auto" w:fill="auto"/>
            <w:noWrap/>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在校师生的满意程度</w:t>
            </w:r>
          </w:p>
        </w:tc>
        <w:tc>
          <w:tcPr>
            <w:tcW w:w="4181" w:type="dxa"/>
            <w:shd w:val="clear" w:color="auto" w:fill="auto"/>
            <w:noWrap/>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在校师生的满意程度</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90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1、中等职业教育生均经费绩效目标表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1.目标内容1保障中职学校运转，改善高职院校基本办学条件，加快发展中等职业教育，促进教育公平和劳动者素质提高。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531"/>
        <w:gridCol w:w="32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1531" w:type="dxa"/>
            <w:vAlign w:val="center"/>
          </w:tcPr>
          <w:p>
            <w:pPr>
              <w:pStyle w:val="15"/>
            </w:pPr>
            <w:r>
              <w:t>指标值</w:t>
            </w:r>
          </w:p>
        </w:tc>
        <w:tc>
          <w:tcPr>
            <w:tcW w:w="328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申请生均公用经费的学生人数</w:t>
            </w:r>
          </w:p>
        </w:tc>
        <w:tc>
          <w:tcPr>
            <w:tcW w:w="2835" w:type="dxa"/>
            <w:vAlign w:val="center"/>
          </w:tcPr>
          <w:p>
            <w:pPr>
              <w:pStyle w:val="17"/>
            </w:pPr>
            <w:r>
              <w:t>按文件要求申请生均公用经费的学生人数</w:t>
            </w:r>
          </w:p>
        </w:tc>
        <w:tc>
          <w:tcPr>
            <w:tcW w:w="1531" w:type="dxa"/>
            <w:vAlign w:val="center"/>
          </w:tcPr>
          <w:p>
            <w:pPr>
              <w:pStyle w:val="17"/>
            </w:pPr>
            <w:r>
              <w:t>2124人</w:t>
            </w:r>
          </w:p>
        </w:tc>
        <w:tc>
          <w:tcPr>
            <w:tcW w:w="3288" w:type="dxa"/>
            <w:vAlign w:val="center"/>
          </w:tcPr>
          <w:p>
            <w:pPr>
              <w:pStyle w:val="17"/>
            </w:pPr>
            <w:r>
              <w:t>河北省财政厅 河北省教育厅 河北省人力资源和社会保障厅关于建立完善河北省中等职业学校生均拨款制度的通知（冀财教[2016]1号）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1531" w:type="dxa"/>
            <w:vAlign w:val="center"/>
          </w:tcPr>
          <w:p>
            <w:pPr>
              <w:pStyle w:val="17"/>
            </w:pPr>
            <w:r>
              <w:t>100%</w:t>
            </w:r>
          </w:p>
        </w:tc>
        <w:tc>
          <w:tcPr>
            <w:tcW w:w="3288" w:type="dxa"/>
            <w:vAlign w:val="center"/>
          </w:tcPr>
          <w:p>
            <w:pPr>
              <w:pStyle w:val="17"/>
            </w:pPr>
            <w:r>
              <w:t>河北省财政厅 河北省教育厅 河北省人力资源和社会保障厅关于建立完善河北省中等职业学校生均拨款制度的通知（冀财教[2016]1号）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1531" w:type="dxa"/>
            <w:vAlign w:val="center"/>
          </w:tcPr>
          <w:p>
            <w:pPr>
              <w:pStyle w:val="17"/>
            </w:pPr>
            <w:r>
              <w:t>100%</w:t>
            </w:r>
          </w:p>
        </w:tc>
        <w:tc>
          <w:tcPr>
            <w:tcW w:w="328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使用生均公用经费，用于保障学校正常运转的项目完成情况</w:t>
            </w:r>
          </w:p>
        </w:tc>
        <w:tc>
          <w:tcPr>
            <w:tcW w:w="1531" w:type="dxa"/>
            <w:vAlign w:val="center"/>
          </w:tcPr>
          <w:p>
            <w:pPr>
              <w:pStyle w:val="17"/>
            </w:pPr>
            <w:r>
              <w:t>1000元</w:t>
            </w:r>
          </w:p>
        </w:tc>
        <w:tc>
          <w:tcPr>
            <w:tcW w:w="3288" w:type="dxa"/>
            <w:vAlign w:val="center"/>
          </w:tcPr>
          <w:p>
            <w:pPr>
              <w:pStyle w:val="17"/>
            </w:pPr>
            <w:r>
              <w:t>河北省财政厅 河北省教育厅 河北省人力资源和社会保障厅关于建立完善河北省中等职业学校生均拨款制度的通知（冀财教[2016]1号）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支持现代职业教育高质量发展</w:t>
            </w:r>
          </w:p>
        </w:tc>
        <w:tc>
          <w:tcPr>
            <w:tcW w:w="2835" w:type="dxa"/>
            <w:vAlign w:val="center"/>
          </w:tcPr>
          <w:p>
            <w:pPr>
              <w:pStyle w:val="17"/>
            </w:pPr>
            <w:r>
              <w:t>该资金用于学校正常运转，改善高职院校基本办学条件，支持现代职业教育高质量发展</w:t>
            </w:r>
          </w:p>
        </w:tc>
        <w:tc>
          <w:tcPr>
            <w:tcW w:w="1531" w:type="dxa"/>
            <w:vAlign w:val="center"/>
          </w:tcPr>
          <w:p>
            <w:pPr>
              <w:pStyle w:val="17"/>
            </w:pPr>
            <w:r>
              <w:t>支持</w:t>
            </w:r>
          </w:p>
        </w:tc>
        <w:tc>
          <w:tcPr>
            <w:tcW w:w="3288" w:type="dxa"/>
            <w:vAlign w:val="center"/>
          </w:tcPr>
          <w:p>
            <w:pPr>
              <w:pStyle w:val="17"/>
            </w:pPr>
            <w:r>
              <w:t>河北省财政厅 河北省教育厅 河北省人力资源和社会保障厅关于建立完善河北省中等职业学校生均拨款制度的通知（冀财教[2016]1号）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1531" w:type="dxa"/>
            <w:vAlign w:val="center"/>
          </w:tcPr>
          <w:p>
            <w:pPr>
              <w:pStyle w:val="17"/>
            </w:pPr>
            <w:r>
              <w:t>无</w:t>
            </w:r>
          </w:p>
        </w:tc>
        <w:tc>
          <w:tcPr>
            <w:tcW w:w="328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1531" w:type="dxa"/>
            <w:vAlign w:val="center"/>
          </w:tcPr>
          <w:p>
            <w:pPr>
              <w:pStyle w:val="17"/>
            </w:pPr>
            <w:r>
              <w:t>≥98%</w:t>
            </w:r>
          </w:p>
        </w:tc>
        <w:tc>
          <w:tcPr>
            <w:tcW w:w="328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2、中等职业教育免学费资金[区级]绩效目标表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1.目标内容1保证学校正常运转，教学正常开展，促进中职教育发展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享受免学费的学生人数</w:t>
            </w:r>
          </w:p>
        </w:tc>
        <w:tc>
          <w:tcPr>
            <w:tcW w:w="2835" w:type="dxa"/>
            <w:vAlign w:val="center"/>
          </w:tcPr>
          <w:p>
            <w:pPr>
              <w:pStyle w:val="17"/>
            </w:pPr>
            <w:r>
              <w:t>按文件要求享受免学费的学生人数</w:t>
            </w:r>
          </w:p>
        </w:tc>
        <w:tc>
          <w:tcPr>
            <w:tcW w:w="2551" w:type="dxa"/>
            <w:vAlign w:val="center"/>
          </w:tcPr>
          <w:p>
            <w:pPr>
              <w:pStyle w:val="17"/>
            </w:pPr>
            <w:r>
              <w:t>2000人</w:t>
            </w:r>
          </w:p>
        </w:tc>
        <w:tc>
          <w:tcPr>
            <w:tcW w:w="2268" w:type="dxa"/>
            <w:vAlign w:val="center"/>
          </w:tcPr>
          <w:p>
            <w:pPr>
              <w:pStyle w:val="17"/>
            </w:pPr>
            <w: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免收学费的学生认定的准确率</w:t>
            </w:r>
          </w:p>
        </w:tc>
        <w:tc>
          <w:tcPr>
            <w:tcW w:w="2835" w:type="dxa"/>
            <w:vAlign w:val="center"/>
          </w:tcPr>
          <w:p>
            <w:pPr>
              <w:pStyle w:val="17"/>
            </w:pPr>
            <w:r>
              <w:t>对于符合免收学费的学生认定符合文件规定的标准</w:t>
            </w:r>
          </w:p>
        </w:tc>
        <w:tc>
          <w:tcPr>
            <w:tcW w:w="2551" w:type="dxa"/>
            <w:vAlign w:val="center"/>
          </w:tcPr>
          <w:p>
            <w:pPr>
              <w:pStyle w:val="17"/>
            </w:pPr>
            <w:r>
              <w:t>100%</w:t>
            </w:r>
          </w:p>
        </w:tc>
        <w:tc>
          <w:tcPr>
            <w:tcW w:w="2268" w:type="dxa"/>
            <w:vAlign w:val="center"/>
          </w:tcPr>
          <w:p>
            <w:pPr>
              <w:pStyle w:val="17"/>
            </w:pPr>
            <w: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免收学生学费的及时率</w:t>
            </w:r>
          </w:p>
        </w:tc>
        <w:tc>
          <w:tcPr>
            <w:tcW w:w="2835" w:type="dxa"/>
            <w:vAlign w:val="center"/>
          </w:tcPr>
          <w:p>
            <w:pPr>
              <w:pStyle w:val="17"/>
            </w:pPr>
            <w:r>
              <w:t>对于符合免收学费的学生在对应的学期及时减免</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预算资金申请的每名学生免除的学费总额区级财政承担金额</w:t>
            </w:r>
          </w:p>
        </w:tc>
        <w:tc>
          <w:tcPr>
            <w:tcW w:w="2835" w:type="dxa"/>
            <w:vAlign w:val="center"/>
          </w:tcPr>
          <w:p>
            <w:pPr>
              <w:pStyle w:val="17"/>
            </w:pPr>
            <w:r>
              <w:t>预算资金申请的每名学生免除的总额区级财政承担金额等于2000元/生</w:t>
            </w:r>
          </w:p>
        </w:tc>
        <w:tc>
          <w:tcPr>
            <w:tcW w:w="2551" w:type="dxa"/>
            <w:vAlign w:val="center"/>
          </w:tcPr>
          <w:p>
            <w:pPr>
              <w:pStyle w:val="17"/>
            </w:pPr>
            <w:r>
              <w:t>2000元</w:t>
            </w:r>
          </w:p>
        </w:tc>
        <w:tc>
          <w:tcPr>
            <w:tcW w:w="2268" w:type="dxa"/>
            <w:vAlign w:val="center"/>
          </w:tcPr>
          <w:p>
            <w:pPr>
              <w:pStyle w:val="17"/>
            </w:pPr>
            <w: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入学率和巩固率</w:t>
            </w:r>
          </w:p>
        </w:tc>
        <w:tc>
          <w:tcPr>
            <w:tcW w:w="2835" w:type="dxa"/>
            <w:vAlign w:val="center"/>
          </w:tcPr>
          <w:p>
            <w:pPr>
              <w:pStyle w:val="17"/>
            </w:pPr>
            <w:r>
              <w:t>提高中职学校的入学率和巩固率</w:t>
            </w:r>
          </w:p>
        </w:tc>
        <w:tc>
          <w:tcPr>
            <w:tcW w:w="2551" w:type="dxa"/>
            <w:vAlign w:val="center"/>
          </w:tcPr>
          <w:p>
            <w:pPr>
              <w:pStyle w:val="17"/>
            </w:pPr>
            <w:r>
              <w:t>≥90%</w:t>
            </w:r>
          </w:p>
        </w:tc>
        <w:tc>
          <w:tcPr>
            <w:tcW w:w="2268" w:type="dxa"/>
            <w:vAlign w:val="center"/>
          </w:tcPr>
          <w:p>
            <w:pPr>
              <w:pStyle w:val="17"/>
            </w:pPr>
            <w: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提高贫困学生入学率</w:t>
            </w:r>
          </w:p>
        </w:tc>
        <w:tc>
          <w:tcPr>
            <w:tcW w:w="2835" w:type="dxa"/>
            <w:vAlign w:val="center"/>
          </w:tcPr>
          <w:p>
            <w:pPr>
              <w:pStyle w:val="17"/>
            </w:pPr>
            <w:r>
              <w:t>减轻2000名学生家长经济负担</w:t>
            </w:r>
          </w:p>
        </w:tc>
        <w:tc>
          <w:tcPr>
            <w:tcW w:w="2551" w:type="dxa"/>
            <w:vAlign w:val="center"/>
          </w:tcPr>
          <w:p>
            <w:pPr>
              <w:pStyle w:val="17"/>
            </w:pPr>
            <w:r>
              <w:t>100%</w:t>
            </w:r>
          </w:p>
        </w:tc>
        <w:tc>
          <w:tcPr>
            <w:tcW w:w="2268" w:type="dxa"/>
            <w:vAlign w:val="center"/>
          </w:tcPr>
          <w:p>
            <w:pPr>
              <w:pStyle w:val="17"/>
            </w:pPr>
            <w: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在校学生的满意程度</w:t>
            </w:r>
          </w:p>
        </w:tc>
        <w:tc>
          <w:tcPr>
            <w:tcW w:w="2835" w:type="dxa"/>
            <w:vAlign w:val="center"/>
          </w:tcPr>
          <w:p>
            <w:pPr>
              <w:pStyle w:val="17"/>
            </w:pPr>
            <w:r>
              <w:t>在校学生的满意程度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3、中等职业教育质量提升资金[中央］绩效目标表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1.目标内容1保障中职学校运转，新建计算机教室改善高职院校基本办学条件，加快发展中等职业教育，促进教育公平和劳动者素质提高。</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购买微机及其配套设施数量</w:t>
            </w:r>
          </w:p>
        </w:tc>
        <w:tc>
          <w:tcPr>
            <w:tcW w:w="2835" w:type="dxa"/>
            <w:vAlign w:val="center"/>
          </w:tcPr>
          <w:p>
            <w:pPr>
              <w:pStyle w:val="17"/>
            </w:pPr>
            <w:r>
              <w:t>新建微机室所需配置微机及其配套设施数量</w:t>
            </w:r>
          </w:p>
        </w:tc>
        <w:tc>
          <w:tcPr>
            <w:tcW w:w="2551" w:type="dxa"/>
            <w:vAlign w:val="center"/>
          </w:tcPr>
          <w:p>
            <w:pPr>
              <w:pStyle w:val="17"/>
            </w:pPr>
            <w:r>
              <w:t>≥67套</w:t>
            </w:r>
          </w:p>
        </w:tc>
        <w:tc>
          <w:tcPr>
            <w:tcW w:w="2268" w:type="dxa"/>
            <w:vAlign w:val="center"/>
          </w:tcPr>
          <w:p>
            <w:pPr>
              <w:pStyle w:val="17"/>
            </w:pPr>
            <w: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考察新建微机教室整体验收合格情况</w:t>
            </w:r>
          </w:p>
        </w:tc>
        <w:tc>
          <w:tcPr>
            <w:tcW w:w="2551" w:type="dxa"/>
            <w:vAlign w:val="center"/>
          </w:tcPr>
          <w:p>
            <w:pPr>
              <w:pStyle w:val="17"/>
            </w:pPr>
            <w:r>
              <w:t>100%</w:t>
            </w:r>
          </w:p>
        </w:tc>
        <w:tc>
          <w:tcPr>
            <w:tcW w:w="2268" w:type="dxa"/>
            <w:vAlign w:val="center"/>
          </w:tcPr>
          <w:p>
            <w:pPr>
              <w:pStyle w:val="17"/>
            </w:pPr>
            <w:r>
              <w:t>质量检测合格依据。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微机教室构建时效</w:t>
            </w:r>
          </w:p>
        </w:tc>
        <w:tc>
          <w:tcPr>
            <w:tcW w:w="2835" w:type="dxa"/>
            <w:vAlign w:val="center"/>
          </w:tcPr>
          <w:p>
            <w:pPr>
              <w:pStyle w:val="17"/>
            </w:pPr>
            <w:r>
              <w:t>考察微机教室完成构建和验收的及时性</w:t>
            </w:r>
          </w:p>
        </w:tc>
        <w:tc>
          <w:tcPr>
            <w:tcW w:w="2551" w:type="dxa"/>
            <w:vAlign w:val="center"/>
          </w:tcPr>
          <w:p>
            <w:pPr>
              <w:pStyle w:val="17"/>
            </w:pPr>
            <w:r>
              <w:t>及时</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项目完成成本</w:t>
            </w:r>
          </w:p>
        </w:tc>
        <w:tc>
          <w:tcPr>
            <w:tcW w:w="2835" w:type="dxa"/>
            <w:vAlign w:val="center"/>
          </w:tcPr>
          <w:p>
            <w:pPr>
              <w:pStyle w:val="17"/>
            </w:pPr>
            <w:r>
              <w:t>考察新建微机教室资金使用情况</w:t>
            </w:r>
          </w:p>
        </w:tc>
        <w:tc>
          <w:tcPr>
            <w:tcW w:w="2551" w:type="dxa"/>
            <w:vAlign w:val="center"/>
          </w:tcPr>
          <w:p>
            <w:pPr>
              <w:pStyle w:val="17"/>
            </w:pPr>
            <w:r>
              <w:t>≤70万元</w:t>
            </w:r>
          </w:p>
        </w:tc>
        <w:tc>
          <w:tcPr>
            <w:tcW w:w="2268" w:type="dxa"/>
            <w:vAlign w:val="center"/>
          </w:tcPr>
          <w:p>
            <w:pPr>
              <w:pStyle w:val="17"/>
            </w:pPr>
            <w: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支持现代职业教育高质量发展</w:t>
            </w:r>
          </w:p>
        </w:tc>
        <w:tc>
          <w:tcPr>
            <w:tcW w:w="2835" w:type="dxa"/>
            <w:vAlign w:val="center"/>
          </w:tcPr>
          <w:p>
            <w:pPr>
              <w:pStyle w:val="17"/>
            </w:pPr>
            <w:r>
              <w:t>该资金用于学校正常运转，改善高职院校基本办学条件，支持现代职业教育高质量发展</w:t>
            </w:r>
          </w:p>
        </w:tc>
        <w:tc>
          <w:tcPr>
            <w:tcW w:w="2551" w:type="dxa"/>
            <w:vAlign w:val="center"/>
          </w:tcPr>
          <w:p>
            <w:pPr>
              <w:pStyle w:val="17"/>
            </w:pPr>
            <w:r>
              <w:t>支持</w:t>
            </w:r>
          </w:p>
        </w:tc>
        <w:tc>
          <w:tcPr>
            <w:tcW w:w="2268" w:type="dxa"/>
            <w:vAlign w:val="center"/>
          </w:tcPr>
          <w:p>
            <w:pPr>
              <w:pStyle w:val="17"/>
            </w:pPr>
            <w: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学生在校学习环境提高，技能得到提升</w:t>
            </w:r>
          </w:p>
        </w:tc>
        <w:tc>
          <w:tcPr>
            <w:tcW w:w="2835" w:type="dxa"/>
            <w:vAlign w:val="center"/>
          </w:tcPr>
          <w:p>
            <w:pPr>
              <w:pStyle w:val="17"/>
            </w:pPr>
            <w:r>
              <w:t>学生在校学习环境提高，技能得到提升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4、中等职业教育助学金[中央]绩效目标表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1.帮助家庭经济困难学生，满足经济社会对高素质劳动者和技能型人才的需要</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满足助学金领取标准的学生人数</w:t>
            </w:r>
          </w:p>
        </w:tc>
        <w:tc>
          <w:tcPr>
            <w:tcW w:w="2835" w:type="dxa"/>
            <w:vAlign w:val="center"/>
          </w:tcPr>
          <w:p>
            <w:pPr>
              <w:pStyle w:val="17"/>
            </w:pPr>
            <w:r>
              <w:t>按文件要求符合助学金领取标准的学生人数</w:t>
            </w:r>
          </w:p>
        </w:tc>
        <w:tc>
          <w:tcPr>
            <w:tcW w:w="2551" w:type="dxa"/>
            <w:vAlign w:val="center"/>
          </w:tcPr>
          <w:p>
            <w:pPr>
              <w:pStyle w:val="17"/>
            </w:pPr>
            <w:r>
              <w:t>67人</w:t>
            </w:r>
          </w:p>
        </w:tc>
        <w:tc>
          <w:tcPr>
            <w:tcW w:w="2268" w:type="dxa"/>
            <w:vAlign w:val="center"/>
          </w:tcPr>
          <w:p>
            <w:pPr>
              <w:pStyle w:val="17"/>
            </w:pPr>
            <w: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领取助学金的学生条件审核的准确率</w:t>
            </w:r>
          </w:p>
        </w:tc>
        <w:tc>
          <w:tcPr>
            <w:tcW w:w="2835" w:type="dxa"/>
            <w:vAlign w:val="center"/>
          </w:tcPr>
          <w:p>
            <w:pPr>
              <w:pStyle w:val="17"/>
            </w:pPr>
            <w:r>
              <w:t>对于符合领取助学金的学生条件审核符合文件规定的标准</w:t>
            </w:r>
          </w:p>
        </w:tc>
        <w:tc>
          <w:tcPr>
            <w:tcW w:w="2551" w:type="dxa"/>
            <w:vAlign w:val="center"/>
          </w:tcPr>
          <w:p>
            <w:pPr>
              <w:pStyle w:val="17"/>
            </w:pPr>
            <w:r>
              <w:t>100%</w:t>
            </w:r>
          </w:p>
        </w:tc>
        <w:tc>
          <w:tcPr>
            <w:tcW w:w="2268" w:type="dxa"/>
            <w:vAlign w:val="center"/>
          </w:tcPr>
          <w:p>
            <w:pPr>
              <w:pStyle w:val="17"/>
            </w:pPr>
            <w: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学生助学金的发放及时率</w:t>
            </w:r>
          </w:p>
        </w:tc>
        <w:tc>
          <w:tcPr>
            <w:tcW w:w="2835" w:type="dxa"/>
            <w:vAlign w:val="center"/>
          </w:tcPr>
          <w:p>
            <w:pPr>
              <w:pStyle w:val="17"/>
            </w:pPr>
            <w:r>
              <w:t>对于符合领取助学金条件的学生在对应的学期及时补助资金</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每名学生助学金总额中的区级财政承担金额</w:t>
            </w:r>
          </w:p>
        </w:tc>
        <w:tc>
          <w:tcPr>
            <w:tcW w:w="2835" w:type="dxa"/>
            <w:vAlign w:val="center"/>
          </w:tcPr>
          <w:p>
            <w:pPr>
              <w:pStyle w:val="17"/>
            </w:pPr>
            <w:r>
              <w:t>每名学生助学金总额中的区级财政承担金额等于400元/生</w:t>
            </w:r>
          </w:p>
        </w:tc>
        <w:tc>
          <w:tcPr>
            <w:tcW w:w="2551" w:type="dxa"/>
            <w:vAlign w:val="center"/>
          </w:tcPr>
          <w:p>
            <w:pPr>
              <w:pStyle w:val="17"/>
            </w:pPr>
            <w:r>
              <w:t>1044.8元</w:t>
            </w:r>
          </w:p>
        </w:tc>
        <w:tc>
          <w:tcPr>
            <w:tcW w:w="2268" w:type="dxa"/>
            <w:vAlign w:val="center"/>
          </w:tcPr>
          <w:p>
            <w:pPr>
              <w:pStyle w:val="17"/>
            </w:pPr>
            <w: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家庭困难学生入学率</w:t>
            </w:r>
          </w:p>
        </w:tc>
        <w:tc>
          <w:tcPr>
            <w:tcW w:w="2835" w:type="dxa"/>
            <w:vAlign w:val="center"/>
          </w:tcPr>
          <w:p>
            <w:pPr>
              <w:pStyle w:val="17"/>
            </w:pPr>
            <w:r>
              <w:t>保证家庭困难学生入学率</w:t>
            </w:r>
          </w:p>
        </w:tc>
        <w:tc>
          <w:tcPr>
            <w:tcW w:w="2551" w:type="dxa"/>
            <w:vAlign w:val="center"/>
          </w:tcPr>
          <w:p>
            <w:pPr>
              <w:pStyle w:val="17"/>
            </w:pPr>
            <w:r>
              <w:t>≥98%</w:t>
            </w:r>
          </w:p>
        </w:tc>
        <w:tc>
          <w:tcPr>
            <w:tcW w:w="2268" w:type="dxa"/>
            <w:vAlign w:val="center"/>
          </w:tcPr>
          <w:p>
            <w:pPr>
              <w:pStyle w:val="17"/>
            </w:pPr>
            <w: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受助学生、家长对补助情况的满意程度</w:t>
            </w:r>
          </w:p>
        </w:tc>
        <w:tc>
          <w:tcPr>
            <w:tcW w:w="2835" w:type="dxa"/>
            <w:vAlign w:val="center"/>
          </w:tcPr>
          <w:p>
            <w:pPr>
              <w:pStyle w:val="17"/>
            </w:pPr>
            <w:r>
              <w:t>受助学生、家长对补助情况的满意程度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5、中等职业教育助学金经费[区级]绩效目标表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1.目标内容1帮助家庭经济困难学生；2加快发展中等职业教育；3促进教育公平和劳动者素质提高。</w:t>
            </w:r>
            <w:r>
              <w:tab/>
            </w:r>
            <w:r>
              <w:tab/>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满足助学金领取标准的学生人数</w:t>
            </w:r>
          </w:p>
        </w:tc>
        <w:tc>
          <w:tcPr>
            <w:tcW w:w="2835" w:type="dxa"/>
            <w:vAlign w:val="center"/>
          </w:tcPr>
          <w:p>
            <w:pPr>
              <w:pStyle w:val="17"/>
            </w:pPr>
            <w:r>
              <w:t>按文件要求符合助学金领取标准的学生人数</w:t>
            </w:r>
          </w:p>
        </w:tc>
        <w:tc>
          <w:tcPr>
            <w:tcW w:w="2551" w:type="dxa"/>
            <w:vAlign w:val="center"/>
          </w:tcPr>
          <w:p>
            <w:pPr>
              <w:pStyle w:val="17"/>
            </w:pPr>
            <w:r>
              <w:t>60人</w:t>
            </w:r>
          </w:p>
        </w:tc>
        <w:tc>
          <w:tcPr>
            <w:tcW w:w="2268" w:type="dxa"/>
            <w:vAlign w:val="center"/>
          </w:tcPr>
          <w:p>
            <w:pPr>
              <w:pStyle w:val="17"/>
            </w:pPr>
            <w: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领取助学金的学生条件审核的准确率</w:t>
            </w:r>
          </w:p>
        </w:tc>
        <w:tc>
          <w:tcPr>
            <w:tcW w:w="2835" w:type="dxa"/>
            <w:vAlign w:val="center"/>
          </w:tcPr>
          <w:p>
            <w:pPr>
              <w:pStyle w:val="17"/>
            </w:pPr>
            <w:r>
              <w:t>对于符合领取助学金的学生条件审核符合文件规定的标准</w:t>
            </w:r>
          </w:p>
        </w:tc>
        <w:tc>
          <w:tcPr>
            <w:tcW w:w="2551" w:type="dxa"/>
            <w:vAlign w:val="center"/>
          </w:tcPr>
          <w:p>
            <w:pPr>
              <w:pStyle w:val="17"/>
            </w:pPr>
            <w:r>
              <w:t>100%</w:t>
            </w:r>
          </w:p>
        </w:tc>
        <w:tc>
          <w:tcPr>
            <w:tcW w:w="2268" w:type="dxa"/>
            <w:vAlign w:val="center"/>
          </w:tcPr>
          <w:p>
            <w:pPr>
              <w:pStyle w:val="17"/>
            </w:pPr>
            <w: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学生助学金的发放及时率</w:t>
            </w:r>
          </w:p>
        </w:tc>
        <w:tc>
          <w:tcPr>
            <w:tcW w:w="2835" w:type="dxa"/>
            <w:vAlign w:val="center"/>
          </w:tcPr>
          <w:p>
            <w:pPr>
              <w:pStyle w:val="17"/>
            </w:pPr>
            <w:r>
              <w:t>对于符合领取助学金条件的学生在对应的学期及时补助资金</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每名学生助学金总额中的区级财政承担金额</w:t>
            </w:r>
          </w:p>
        </w:tc>
        <w:tc>
          <w:tcPr>
            <w:tcW w:w="2835" w:type="dxa"/>
            <w:vAlign w:val="center"/>
          </w:tcPr>
          <w:p>
            <w:pPr>
              <w:pStyle w:val="17"/>
            </w:pPr>
            <w:r>
              <w:t>每名学生助学金总额中的区级财政承担金额等于400元/生</w:t>
            </w:r>
          </w:p>
        </w:tc>
        <w:tc>
          <w:tcPr>
            <w:tcW w:w="2551" w:type="dxa"/>
            <w:vAlign w:val="center"/>
          </w:tcPr>
          <w:p>
            <w:pPr>
              <w:pStyle w:val="17"/>
            </w:pPr>
            <w:r>
              <w:t xml:space="preserve">400元 </w:t>
            </w:r>
          </w:p>
        </w:tc>
        <w:tc>
          <w:tcPr>
            <w:tcW w:w="2268" w:type="dxa"/>
            <w:vAlign w:val="center"/>
          </w:tcPr>
          <w:p>
            <w:pPr>
              <w:pStyle w:val="17"/>
            </w:pPr>
            <w: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家庭困难学生入学率</w:t>
            </w:r>
          </w:p>
        </w:tc>
        <w:tc>
          <w:tcPr>
            <w:tcW w:w="2835" w:type="dxa"/>
            <w:vAlign w:val="center"/>
          </w:tcPr>
          <w:p>
            <w:pPr>
              <w:pStyle w:val="17"/>
            </w:pPr>
            <w:r>
              <w:t>保证家庭困难学生入学率</w:t>
            </w:r>
          </w:p>
        </w:tc>
        <w:tc>
          <w:tcPr>
            <w:tcW w:w="2551" w:type="dxa"/>
            <w:vAlign w:val="center"/>
          </w:tcPr>
          <w:p>
            <w:pPr>
              <w:pStyle w:val="17"/>
            </w:pPr>
            <w:r>
              <w:t>100%</w:t>
            </w:r>
          </w:p>
        </w:tc>
        <w:tc>
          <w:tcPr>
            <w:tcW w:w="2268" w:type="dxa"/>
            <w:vAlign w:val="center"/>
          </w:tcPr>
          <w:p>
            <w:pPr>
              <w:pStyle w:val="17"/>
            </w:pPr>
            <w: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家庭困难学生入学率</w:t>
            </w:r>
          </w:p>
        </w:tc>
        <w:tc>
          <w:tcPr>
            <w:tcW w:w="2835" w:type="dxa"/>
            <w:vAlign w:val="center"/>
          </w:tcPr>
          <w:p>
            <w:pPr>
              <w:pStyle w:val="17"/>
            </w:pPr>
            <w:r>
              <w:t>保证家庭困难学生入学率</w:t>
            </w:r>
          </w:p>
        </w:tc>
        <w:tc>
          <w:tcPr>
            <w:tcW w:w="2551" w:type="dxa"/>
            <w:vAlign w:val="center"/>
          </w:tcPr>
          <w:p>
            <w:pPr>
              <w:pStyle w:val="17"/>
            </w:pPr>
            <w:r>
              <w:t>≥98%</w:t>
            </w:r>
          </w:p>
        </w:tc>
        <w:tc>
          <w:tcPr>
            <w:tcW w:w="2268" w:type="dxa"/>
            <w:vAlign w:val="center"/>
          </w:tcPr>
          <w:p>
            <w:pPr>
              <w:pStyle w:val="17"/>
            </w:pPr>
            <w: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受助学生、家长对补助情况的满意程度</w:t>
            </w:r>
          </w:p>
        </w:tc>
        <w:tc>
          <w:tcPr>
            <w:tcW w:w="2835" w:type="dxa"/>
            <w:vAlign w:val="center"/>
          </w:tcPr>
          <w:p>
            <w:pPr>
              <w:pStyle w:val="17"/>
            </w:pPr>
            <w:r>
              <w:t>受助学生、家长对补助情况的满意程度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2023年，廊坊市第四职业中学安排政府采购预算52.00万元。具体内容见下表。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485001廊坊市第四职业中学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52.00</w:t>
            </w:r>
          </w:p>
        </w:tc>
        <w:tc>
          <w:tcPr>
            <w:tcW w:w="964" w:type="dxa"/>
            <w:vAlign w:val="center"/>
          </w:tcPr>
          <w:p>
            <w:pPr>
              <w:pStyle w:val="20"/>
            </w:pPr>
            <w:r>
              <w:t>52.00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廊坊市第四职业中学小计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52.00</w:t>
            </w:r>
          </w:p>
        </w:tc>
        <w:tc>
          <w:tcPr>
            <w:tcW w:w="964" w:type="dxa"/>
            <w:vAlign w:val="center"/>
          </w:tcPr>
          <w:p>
            <w:pPr>
              <w:pStyle w:val="20"/>
            </w:pPr>
            <w:r>
              <w:t>52.00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中等职业教育生均经费</w:t>
            </w:r>
          </w:p>
        </w:tc>
        <w:tc>
          <w:tcPr>
            <w:tcW w:w="964" w:type="dxa"/>
            <w:vAlign w:val="center"/>
          </w:tcPr>
          <w:p>
            <w:pPr>
              <w:pStyle w:val="16"/>
            </w:pPr>
            <w:r>
              <w:t>212.40</w:t>
            </w:r>
          </w:p>
        </w:tc>
        <w:tc>
          <w:tcPr>
            <w:tcW w:w="1134" w:type="dxa"/>
            <w:vAlign w:val="center"/>
          </w:tcPr>
          <w:p>
            <w:pPr>
              <w:pStyle w:val="17"/>
            </w:pPr>
            <w:r>
              <w:t>职业中学教育服务</w:t>
            </w:r>
          </w:p>
        </w:tc>
        <w:tc>
          <w:tcPr>
            <w:tcW w:w="1134" w:type="dxa"/>
            <w:vAlign w:val="center"/>
          </w:tcPr>
          <w:p>
            <w:pPr>
              <w:pStyle w:val="17"/>
            </w:pPr>
            <w:r>
              <w:t>C02030400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52.00</w:t>
            </w:r>
          </w:p>
        </w:tc>
        <w:tc>
          <w:tcPr>
            <w:tcW w:w="964" w:type="dxa"/>
            <w:vAlign w:val="center"/>
          </w:tcPr>
          <w:p>
            <w:pPr>
              <w:pStyle w:val="16"/>
            </w:pPr>
            <w:r>
              <w:t>52.00</w:t>
            </w:r>
          </w:p>
        </w:tc>
        <w:tc>
          <w:tcPr>
            <w:tcW w:w="964" w:type="dxa"/>
            <w:vAlign w:val="center"/>
          </w:tcPr>
          <w:p>
            <w:pPr>
              <w:pStyle w:val="16"/>
            </w:pPr>
            <w:r>
              <w:t>52.00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廊坊市第四职业中学上年末固定资产金额为136.59万元（详见下表）。本年度拟购置固定资产总额为0.00万元，已按要求列入政府采购预算，详见政府采购预算表。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485001廊坊市第四职业中学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136.59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3777</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3777</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136.59</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B9345C"/>
    <w:rsid w:val="00116746"/>
    <w:rsid w:val="00974CB8"/>
    <w:rsid w:val="00B53098"/>
    <w:rsid w:val="00B9345C"/>
    <w:rsid w:val="00F87B9E"/>
    <w:rsid w:val="1DAD0ABD"/>
    <w:rsid w:val="26F82218"/>
    <w:rsid w:val="61A10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 w:type="character" w:customStyle="1" w:styleId="36">
    <w:name w:val="font28"/>
    <w:basedOn w:val="10"/>
    <w:uiPriority w:val="0"/>
    <w:rPr>
      <w:rFonts w:hint="eastAsia" w:ascii="微软雅黑" w:hAnsi="微软雅黑" w:eastAsia="微软雅黑"/>
      <w:b/>
      <w:bCs/>
      <w:color w:val="000000"/>
      <w:sz w:val="15"/>
      <w:szCs w:val="15"/>
      <w:u w:val="none"/>
    </w:rPr>
  </w:style>
  <w:style w:type="character" w:customStyle="1" w:styleId="37">
    <w:name w:val="font191"/>
    <w:basedOn w:val="10"/>
    <w:uiPriority w:val="0"/>
    <w:rPr>
      <w:rFonts w:hint="eastAsia" w:ascii="Malgun Gothic Semilight" w:hAnsi="Malgun Gothic Semilight" w:eastAsia="Malgun Gothic Semilight" w:cs="Malgun Gothic Semilight"/>
      <w:b/>
      <w:bCs/>
      <w:color w:val="000000"/>
      <w:sz w:val="15"/>
      <w:szCs w:val="15"/>
      <w:u w:val="none"/>
    </w:rPr>
  </w:style>
  <w:style w:type="character" w:customStyle="1" w:styleId="38">
    <w:name w:val="font31"/>
    <w:basedOn w:val="10"/>
    <w:uiPriority w:val="0"/>
    <w:rPr>
      <w:rFonts w:hint="eastAsia" w:ascii="微软雅黑" w:hAnsi="微软雅黑" w:eastAsia="微软雅黑"/>
      <w:color w:val="000000"/>
      <w:sz w:val="16"/>
      <w:szCs w:val="16"/>
      <w:u w:val="none"/>
    </w:rPr>
  </w:style>
  <w:style w:type="character" w:customStyle="1" w:styleId="39">
    <w:name w:val="font201"/>
    <w:basedOn w:val="10"/>
    <w:uiPriority w:val="0"/>
    <w:rPr>
      <w:rFonts w:hint="eastAsia" w:ascii="方正书宋_GBK" w:eastAsia="方正书宋_GBK"/>
      <w:color w:val="000000"/>
      <w:sz w:val="16"/>
      <w:szCs w:val="16"/>
      <w:u w:val="none"/>
    </w:rPr>
  </w:style>
  <w:style w:type="character" w:customStyle="1" w:styleId="40">
    <w:name w:val="font221"/>
    <w:basedOn w:val="10"/>
    <w:uiPriority w:val="0"/>
    <w:rPr>
      <w:rFonts w:hint="eastAsia" w:ascii="Malgun Gothic Semilight" w:hAnsi="Malgun Gothic Semilight" w:eastAsia="Malgun Gothic Semilight" w:cs="Malgun Gothic Semilight"/>
      <w:color w:val="000000"/>
      <w:sz w:val="16"/>
      <w:szCs w:val="16"/>
      <w:u w:val="none"/>
    </w:rPr>
  </w:style>
  <w:style w:type="character" w:customStyle="1" w:styleId="41">
    <w:name w:val="font61"/>
    <w:basedOn w:val="10"/>
    <w:uiPriority w:val="0"/>
    <w:rPr>
      <w:rFonts w:hint="eastAsia" w:ascii="宋体" w:hAnsi="宋体" w:eastAsia="宋体"/>
      <w:color w:val="000000"/>
      <w:sz w:val="15"/>
      <w:szCs w:val="15"/>
      <w:u w:val="none"/>
    </w:rPr>
  </w:style>
  <w:style w:type="character" w:customStyle="1" w:styleId="42">
    <w:name w:val="font131"/>
    <w:basedOn w:val="10"/>
    <w:uiPriority w:val="0"/>
    <w:rPr>
      <w:rFonts w:hint="default" w:ascii="Times New Roman" w:hAnsi="Times New Roman" w:cs="Times New Roman"/>
      <w:color w:val="000000"/>
      <w:sz w:val="15"/>
      <w:szCs w:val="15"/>
      <w:u w:val="none"/>
    </w:rPr>
  </w:style>
  <w:style w:type="character" w:customStyle="1" w:styleId="43">
    <w:name w:val="font51"/>
    <w:basedOn w:val="10"/>
    <w:qFormat/>
    <w:uiPriority w:val="0"/>
    <w:rPr>
      <w:rFonts w:hint="eastAsia" w:ascii="宋体" w:hAnsi="宋体" w:eastAsia="宋体"/>
      <w:color w:val="000000"/>
      <w:sz w:val="16"/>
      <w:szCs w:val="16"/>
      <w:u w:val="none"/>
    </w:rPr>
  </w:style>
  <w:style w:type="character" w:customStyle="1" w:styleId="44">
    <w:name w:val="font91"/>
    <w:basedOn w:val="10"/>
    <w:uiPriority w:val="0"/>
    <w:rPr>
      <w:rFonts w:hint="default" w:ascii="Times New Roman" w:hAnsi="Times New Roman" w:cs="Times New Roman"/>
      <w:color w:val="000000"/>
      <w:sz w:val="16"/>
      <w:szCs w:val="16"/>
      <w:u w:val="none"/>
    </w:rPr>
  </w:style>
  <w:style w:type="character" w:customStyle="1" w:styleId="45">
    <w:name w:val="font81"/>
    <w:basedOn w:val="10"/>
    <w:uiPriority w:val="0"/>
    <w:rPr>
      <w:rFonts w:hint="eastAsia" w:ascii="宋体" w:hAnsi="宋体" w:eastAsia="宋体"/>
      <w:color w:val="000000"/>
      <w:sz w:val="16"/>
      <w:szCs w:val="16"/>
      <w:u w:val="none"/>
    </w:rPr>
  </w:style>
  <w:style w:type="character" w:customStyle="1" w:styleId="46">
    <w:name w:val="font231"/>
    <w:basedOn w:val="10"/>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2023-03-13T11:08:53Z</dcterms:created>
  <dcterms:modified xsi:type="dcterms:W3CDTF">2023-03-13T03:08:53Z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2023-03-13T11:08:57Z</dcterms:created>
  <dcterms:modified xsi:type="dcterms:W3CDTF">2023-03-13T03:08:57Z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2023-03-13T11:08:57Z</dcterms:created>
  <dcterms:modified xsi:type="dcterms:W3CDTF">2023-03-13T03:08:57Z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2023-03-13T11:08:54Z</dcterms:created>
  <dcterms:modified xsi:type="dcterms:W3CDTF">2023-03-13T03:08:54Z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2023-03-13T11:08:58Z</dcterms:created>
  <dcterms:modified xsi:type="dcterms:W3CDTF">2023-03-13T03:08:57Z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2023-03-13T11:08:54Z</dcterms:created>
  <dcterms:modified xsi:type="dcterms:W3CDTF">2023-03-13T03:08:54Z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2023-03-13T11:08:57Z</dcterms:created>
  <dcterms:modified xsi:type="dcterms:W3CDTF">2023-03-13T03:08:57Z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2023-03-13T11:08:53Z</dcterms:created>
  <dcterms:modified xsi:type="dcterms:W3CDTF">2023-03-13T03:08:53Z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2023-03-13T11:08:52Z</dcterms:created>
  <dcterms:modified xsi:type="dcterms:W3CDTF">2023-03-13T03:08:52Z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2023-03-13T11:08:57Z</dcterms:created>
  <dcterms:modified xsi:type="dcterms:W3CDTF">2023-03-13T03:08:57Z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2023-03-13T11:08:54Z</dcterms:created>
  <dcterms:modified xsi:type="dcterms:W3CDTF">2023-03-13T03:08:54Z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2023-03-13T11:08:57Z</dcterms:created>
  <dcterms:modified xsi:type="dcterms:W3CDTF">2023-03-13T03:08:57Z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2023-03-13T11:08:53Z</dcterms:created>
  <dcterms:modified xsi:type="dcterms:W3CDTF">2023-03-13T03:08:53Z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2023-03-13T11:08:54Z</dcterms:created>
  <dcterms:modified xsi:type="dcterms:W3CDTF">2023-03-13T03:08:54Z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2023-03-13T11:08:56Z</dcterms:created>
  <dcterms:modified xsi:type="dcterms:W3CDTF">2023-03-13T03:08:56Z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B0BF7E9-55FA-4F5B-B6CC-B8283940C62D}">
  <ds:schemaRefs/>
</ds:datastoreItem>
</file>

<file path=customXml/itemProps10.xml><?xml version="1.0" encoding="utf-8"?>
<ds:datastoreItem xmlns:ds="http://schemas.openxmlformats.org/officeDocument/2006/customXml" ds:itemID="{73D9C981-D865-422D-911B-C263419DA1A1}">
  <ds:schemaRefs/>
</ds:datastoreItem>
</file>

<file path=customXml/itemProps11.xml><?xml version="1.0" encoding="utf-8"?>
<ds:datastoreItem xmlns:ds="http://schemas.openxmlformats.org/officeDocument/2006/customXml" ds:itemID="{22859863-6308-4F46-8DA6-FB1A21EC8887}">
  <ds:schemaRefs/>
</ds:datastoreItem>
</file>

<file path=customXml/itemProps12.xml><?xml version="1.0" encoding="utf-8"?>
<ds:datastoreItem xmlns:ds="http://schemas.openxmlformats.org/officeDocument/2006/customXml" ds:itemID="{5CD0F9CA-BEE1-4306-936B-1BF80CA5F231}">
  <ds:schemaRefs/>
</ds:datastoreItem>
</file>

<file path=customXml/itemProps13.xml><?xml version="1.0" encoding="utf-8"?>
<ds:datastoreItem xmlns:ds="http://schemas.openxmlformats.org/officeDocument/2006/customXml" ds:itemID="{EC167F6B-7740-4B37-9E03-F82EB3A24885}">
  <ds:schemaRefs/>
</ds:datastoreItem>
</file>

<file path=customXml/itemProps14.xml><?xml version="1.0" encoding="utf-8"?>
<ds:datastoreItem xmlns:ds="http://schemas.openxmlformats.org/officeDocument/2006/customXml" ds:itemID="{B755C969-3CD7-466A-85A8-3831159279CB}">
  <ds:schemaRefs/>
</ds:datastoreItem>
</file>

<file path=customXml/itemProps15.xml><?xml version="1.0" encoding="utf-8"?>
<ds:datastoreItem xmlns:ds="http://schemas.openxmlformats.org/officeDocument/2006/customXml" ds:itemID="{DA7208FC-7419-4929-98B3-A1E486490BE8}">
  <ds:schemaRefs/>
</ds:datastoreItem>
</file>

<file path=customXml/itemProps16.xml><?xml version="1.0" encoding="utf-8"?>
<ds:datastoreItem xmlns:ds="http://schemas.openxmlformats.org/officeDocument/2006/customXml" ds:itemID="{C5F3BFCB-6BE5-4D3C-96DF-346A8A654AC5}">
  <ds:schemaRefs/>
</ds:datastoreItem>
</file>

<file path=customXml/itemProps17.xml><?xml version="1.0" encoding="utf-8"?>
<ds:datastoreItem xmlns:ds="http://schemas.openxmlformats.org/officeDocument/2006/customXml" ds:itemID="{DC5EE3DF-0CC3-4234-A15F-B14E634F1E8B}">
  <ds:schemaRefs/>
</ds:datastoreItem>
</file>

<file path=customXml/itemProps18.xml><?xml version="1.0" encoding="utf-8"?>
<ds:datastoreItem xmlns:ds="http://schemas.openxmlformats.org/officeDocument/2006/customXml" ds:itemID="{CCD5FAB0-FF57-47DC-AF45-8D39351154EB}">
  <ds:schemaRefs/>
</ds:datastoreItem>
</file>

<file path=customXml/itemProps19.xml><?xml version="1.0" encoding="utf-8"?>
<ds:datastoreItem xmlns:ds="http://schemas.openxmlformats.org/officeDocument/2006/customXml" ds:itemID="{BA4530C3-6AB9-4EBB-AFBA-850D5A3CBF40}">
  <ds:schemaRefs/>
</ds:datastoreItem>
</file>

<file path=customXml/itemProps2.xml><?xml version="1.0" encoding="utf-8"?>
<ds:datastoreItem xmlns:ds="http://schemas.openxmlformats.org/officeDocument/2006/customXml" ds:itemID="{61F7B788-62A8-4634-9BBC-75029DD67434}">
  <ds:schemaRefs/>
</ds:datastoreItem>
</file>

<file path=customXml/itemProps20.xml><?xml version="1.0" encoding="utf-8"?>
<ds:datastoreItem xmlns:ds="http://schemas.openxmlformats.org/officeDocument/2006/customXml" ds:itemID="{5BE4B86F-1976-4D76-9E8F-38311B2B90DC}">
  <ds:schemaRefs/>
</ds:datastoreItem>
</file>

<file path=customXml/itemProps21.xml><?xml version="1.0" encoding="utf-8"?>
<ds:datastoreItem xmlns:ds="http://schemas.openxmlformats.org/officeDocument/2006/customXml" ds:itemID="{04CD7132-DC4C-439F-B779-4F3D7ECDDFC2}">
  <ds:schemaRefs/>
</ds:datastoreItem>
</file>

<file path=customXml/itemProps22.xml><?xml version="1.0" encoding="utf-8"?>
<ds:datastoreItem xmlns:ds="http://schemas.openxmlformats.org/officeDocument/2006/customXml" ds:itemID="{7A61447C-86B5-44B8-8840-0D9CA7D28DE5}">
  <ds:schemaRefs/>
</ds:datastoreItem>
</file>

<file path=customXml/itemProps23.xml><?xml version="1.0" encoding="utf-8"?>
<ds:datastoreItem xmlns:ds="http://schemas.openxmlformats.org/officeDocument/2006/customXml" ds:itemID="{C16EF8AF-E8B7-45B7-B847-78CE9F9CDB3E}">
  <ds:schemaRefs/>
</ds:datastoreItem>
</file>

<file path=customXml/itemProps24.xml><?xml version="1.0" encoding="utf-8"?>
<ds:datastoreItem xmlns:ds="http://schemas.openxmlformats.org/officeDocument/2006/customXml" ds:itemID="{2D4B43FA-28BB-4687-B58C-C0EB797F53AE}">
  <ds:schemaRefs/>
</ds:datastoreItem>
</file>

<file path=customXml/itemProps25.xml><?xml version="1.0" encoding="utf-8"?>
<ds:datastoreItem xmlns:ds="http://schemas.openxmlformats.org/officeDocument/2006/customXml" ds:itemID="{1BE013F2-43CC-4D37-97C5-07AE246DF49E}">
  <ds:schemaRefs/>
</ds:datastoreItem>
</file>

<file path=customXml/itemProps26.xml><?xml version="1.0" encoding="utf-8"?>
<ds:datastoreItem xmlns:ds="http://schemas.openxmlformats.org/officeDocument/2006/customXml" ds:itemID="{0E755E42-326D-4E05-9BCC-09B43EB4482D}">
  <ds:schemaRefs/>
</ds:datastoreItem>
</file>

<file path=customXml/itemProps27.xml><?xml version="1.0" encoding="utf-8"?>
<ds:datastoreItem xmlns:ds="http://schemas.openxmlformats.org/officeDocument/2006/customXml" ds:itemID="{29432AF4-341A-4A5D-B800-97AAF75BD107}">
  <ds:schemaRefs/>
</ds:datastoreItem>
</file>

<file path=customXml/itemProps28.xml><?xml version="1.0" encoding="utf-8"?>
<ds:datastoreItem xmlns:ds="http://schemas.openxmlformats.org/officeDocument/2006/customXml" ds:itemID="{52728C50-1E14-488C-8616-01DD337ECB67}">
  <ds:schemaRefs/>
</ds:datastoreItem>
</file>

<file path=customXml/itemProps29.xml><?xml version="1.0" encoding="utf-8"?>
<ds:datastoreItem xmlns:ds="http://schemas.openxmlformats.org/officeDocument/2006/customXml" ds:itemID="{594C7CD9-782F-46C1-8990-627516AD6428}">
  <ds:schemaRefs/>
</ds:datastoreItem>
</file>

<file path=customXml/itemProps3.xml><?xml version="1.0" encoding="utf-8"?>
<ds:datastoreItem xmlns:ds="http://schemas.openxmlformats.org/officeDocument/2006/customXml" ds:itemID="{1BF1D398-F8C3-428D-B251-148141CB8FB3}">
  <ds:schemaRefs/>
</ds:datastoreItem>
</file>

<file path=customXml/itemProps30.xml><?xml version="1.0" encoding="utf-8"?>
<ds:datastoreItem xmlns:ds="http://schemas.openxmlformats.org/officeDocument/2006/customXml" ds:itemID="{FFF9E18C-D068-4F3B-A6C7-34E33059B48A}">
  <ds:schemaRefs/>
</ds:datastoreItem>
</file>

<file path=customXml/itemProps4.xml><?xml version="1.0" encoding="utf-8"?>
<ds:datastoreItem xmlns:ds="http://schemas.openxmlformats.org/officeDocument/2006/customXml" ds:itemID="{F17748B1-EB99-4A3E-8F24-AD2B87E5E450}">
  <ds:schemaRefs/>
</ds:datastoreItem>
</file>

<file path=customXml/itemProps5.xml><?xml version="1.0" encoding="utf-8"?>
<ds:datastoreItem xmlns:ds="http://schemas.openxmlformats.org/officeDocument/2006/customXml" ds:itemID="{38B14382-19E7-4532-AE65-A5C8125B69CF}">
  <ds:schemaRefs/>
</ds:datastoreItem>
</file>

<file path=customXml/itemProps6.xml><?xml version="1.0" encoding="utf-8"?>
<ds:datastoreItem xmlns:ds="http://schemas.openxmlformats.org/officeDocument/2006/customXml" ds:itemID="{AD8D010C-920B-4A1B-835E-BCDCA09D6735}">
  <ds:schemaRefs/>
</ds:datastoreItem>
</file>

<file path=customXml/itemProps7.xml><?xml version="1.0" encoding="utf-8"?>
<ds:datastoreItem xmlns:ds="http://schemas.openxmlformats.org/officeDocument/2006/customXml" ds:itemID="{B2C1FABA-56F8-466F-A61B-C10370514266}">
  <ds:schemaRefs/>
</ds:datastoreItem>
</file>

<file path=customXml/itemProps8.xml><?xml version="1.0" encoding="utf-8"?>
<ds:datastoreItem xmlns:ds="http://schemas.openxmlformats.org/officeDocument/2006/customXml" ds:itemID="{20C0B358-E709-4CBC-89CC-3628F2DDCE09}">
  <ds:schemaRefs/>
</ds:datastoreItem>
</file>

<file path=customXml/itemProps9.xml><?xml version="1.0" encoding="utf-8"?>
<ds:datastoreItem xmlns:ds="http://schemas.openxmlformats.org/officeDocument/2006/customXml" ds:itemID="{99BB145B-0790-4A30-9463-75E64624EF98}">
  <ds:schemaRefs/>
</ds:datastoreItem>
</file>

<file path=docProps/app.xml><?xml version="1.0" encoding="utf-8"?>
<Properties xmlns="http://schemas.openxmlformats.org/officeDocument/2006/extended-properties" xmlns:vt="http://schemas.openxmlformats.org/officeDocument/2006/docPropsVTypes">
  <Template>Normal</Template>
  <Pages>32</Pages>
  <Words>2045</Words>
  <Characters>11661</Characters>
  <Lines>97</Lines>
  <Paragraphs>27</Paragraphs>
  <TotalTime>3</TotalTime>
  <ScaleCrop>false</ScaleCrop>
  <LinksUpToDate>false</LinksUpToDate>
  <CharactersWithSpaces>13679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lenovo</dc:creator>
  <cp:lastModifiedBy>Administrator</cp:lastModifiedBy>
  <dcterms:modified xsi:type="dcterms:W3CDTF">2024-01-11T02:32:12Z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A41EA16FD6074001A44A9E582E0FFE38</vt:lpwstr>
  </property>
</Properties>
</file>