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28</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29</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1780.27</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1780.27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1780.27</w:t>
            </w:r>
          </w:p>
        </w:tc>
        <w:tc>
          <w:tcPr>
            <w:tcW w:w="4535" w:type="dxa"/>
            <w:vAlign w:val="center"/>
          </w:tcPr>
          <w:p>
            <w:pPr>
              <w:pStyle w:val="19"/>
            </w:pPr>
            <w:r>
              <w:t>本年支出合计</w:t>
            </w:r>
          </w:p>
        </w:tc>
        <w:tc>
          <w:tcPr>
            <w:tcW w:w="2126" w:type="dxa"/>
            <w:vAlign w:val="center"/>
          </w:tcPr>
          <w:p>
            <w:pPr>
              <w:pStyle w:val="20"/>
            </w:pPr>
            <w:r>
              <w:t>1780.27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1780.27</w:t>
            </w:r>
          </w:p>
        </w:tc>
        <w:tc>
          <w:tcPr>
            <w:tcW w:w="4535" w:type="dxa"/>
            <w:vAlign w:val="center"/>
          </w:tcPr>
          <w:p>
            <w:pPr>
              <w:pStyle w:val="19"/>
            </w:pPr>
            <w:r>
              <w:t>支出总计</w:t>
            </w:r>
          </w:p>
        </w:tc>
        <w:tc>
          <w:tcPr>
            <w:tcW w:w="2126" w:type="dxa"/>
            <w:vAlign w:val="center"/>
          </w:tcPr>
          <w:p>
            <w:pPr>
              <w:pStyle w:val="20"/>
            </w:pPr>
            <w:r>
              <w:t>1780.27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1780.27</w:t>
            </w:r>
          </w:p>
        </w:tc>
        <w:tc>
          <w:tcPr>
            <w:tcW w:w="1134" w:type="dxa"/>
            <w:vAlign w:val="center"/>
          </w:tcPr>
          <w:p>
            <w:pPr>
              <w:pStyle w:val="20"/>
            </w:pPr>
            <w:r>
              <w:t>1780.27</w:t>
            </w:r>
          </w:p>
        </w:tc>
        <w:tc>
          <w:tcPr>
            <w:tcW w:w="1134" w:type="dxa"/>
            <w:vAlign w:val="center"/>
          </w:tcPr>
          <w:p>
            <w:pPr>
              <w:pStyle w:val="20"/>
            </w:pPr>
            <w:r>
              <w:t>1780.27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1780.27</w:t>
            </w:r>
          </w:p>
        </w:tc>
        <w:tc>
          <w:tcPr>
            <w:tcW w:w="1361" w:type="dxa"/>
            <w:vAlign w:val="center"/>
          </w:tcPr>
          <w:p>
            <w:pPr>
              <w:pStyle w:val="20"/>
            </w:pPr>
            <w:r>
              <w:t>1768.51</w:t>
            </w:r>
          </w:p>
        </w:tc>
        <w:tc>
          <w:tcPr>
            <w:tcW w:w="1361" w:type="dxa"/>
            <w:vAlign w:val="center"/>
          </w:tcPr>
          <w:p>
            <w:pPr>
              <w:pStyle w:val="20"/>
            </w:pPr>
            <w:r>
              <w:t>11.76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1780.27</w:t>
            </w:r>
          </w:p>
        </w:tc>
        <w:tc>
          <w:tcPr>
            <w:tcW w:w="1361" w:type="dxa"/>
            <w:vAlign w:val="center"/>
          </w:tcPr>
          <w:p>
            <w:pPr>
              <w:pStyle w:val="16"/>
            </w:pPr>
            <w:r>
              <w:t>1768.51</w:t>
            </w:r>
          </w:p>
        </w:tc>
        <w:tc>
          <w:tcPr>
            <w:tcW w:w="1361" w:type="dxa"/>
            <w:vAlign w:val="center"/>
          </w:tcPr>
          <w:p>
            <w:pPr>
              <w:pStyle w:val="16"/>
            </w:pPr>
            <w:r>
              <w:t>11.76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1780.27</w:t>
            </w:r>
          </w:p>
        </w:tc>
        <w:tc>
          <w:tcPr>
            <w:tcW w:w="1361" w:type="dxa"/>
            <w:vAlign w:val="center"/>
          </w:tcPr>
          <w:p>
            <w:pPr>
              <w:pStyle w:val="16"/>
            </w:pPr>
            <w:r>
              <w:t>1768.51</w:t>
            </w:r>
          </w:p>
        </w:tc>
        <w:tc>
          <w:tcPr>
            <w:tcW w:w="1361" w:type="dxa"/>
            <w:vAlign w:val="center"/>
          </w:tcPr>
          <w:p>
            <w:pPr>
              <w:pStyle w:val="16"/>
            </w:pPr>
            <w:r>
              <w:t>11.76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1780.27</w:t>
            </w:r>
          </w:p>
        </w:tc>
        <w:tc>
          <w:tcPr>
            <w:tcW w:w="1361" w:type="dxa"/>
            <w:vAlign w:val="center"/>
          </w:tcPr>
          <w:p>
            <w:pPr>
              <w:pStyle w:val="16"/>
            </w:pPr>
            <w:r>
              <w:t>1768.51</w:t>
            </w:r>
          </w:p>
        </w:tc>
        <w:tc>
          <w:tcPr>
            <w:tcW w:w="1361" w:type="dxa"/>
            <w:vAlign w:val="center"/>
          </w:tcPr>
          <w:p>
            <w:pPr>
              <w:pStyle w:val="16"/>
            </w:pPr>
            <w:r>
              <w:t>11.76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1780.27</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1780.27</w:t>
            </w:r>
          </w:p>
        </w:tc>
        <w:tc>
          <w:tcPr>
            <w:tcW w:w="1474" w:type="dxa"/>
            <w:vAlign w:val="center"/>
          </w:tcPr>
          <w:p>
            <w:pPr>
              <w:pStyle w:val="16"/>
            </w:pPr>
            <w:r>
              <w:t>1780.27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1780.27</w:t>
            </w:r>
          </w:p>
        </w:tc>
        <w:tc>
          <w:tcPr>
            <w:tcW w:w="3402" w:type="dxa"/>
            <w:vAlign w:val="center"/>
          </w:tcPr>
          <w:p>
            <w:pPr>
              <w:pStyle w:val="19"/>
            </w:pPr>
            <w:r>
              <w:t>本年支出合计</w:t>
            </w:r>
          </w:p>
        </w:tc>
        <w:tc>
          <w:tcPr>
            <w:tcW w:w="1474" w:type="dxa"/>
            <w:vAlign w:val="center"/>
          </w:tcPr>
          <w:p>
            <w:pPr>
              <w:pStyle w:val="20"/>
            </w:pPr>
            <w:r>
              <w:t>1780.27</w:t>
            </w:r>
          </w:p>
        </w:tc>
        <w:tc>
          <w:tcPr>
            <w:tcW w:w="1474" w:type="dxa"/>
            <w:vAlign w:val="center"/>
          </w:tcPr>
          <w:p>
            <w:pPr>
              <w:pStyle w:val="20"/>
            </w:pPr>
            <w:r>
              <w:t>1780.27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1780.27</w:t>
            </w:r>
          </w:p>
        </w:tc>
        <w:tc>
          <w:tcPr>
            <w:tcW w:w="3402" w:type="dxa"/>
            <w:vAlign w:val="center"/>
          </w:tcPr>
          <w:p>
            <w:pPr>
              <w:pStyle w:val="19"/>
            </w:pPr>
            <w:r>
              <w:t>支出总计</w:t>
            </w:r>
          </w:p>
        </w:tc>
        <w:tc>
          <w:tcPr>
            <w:tcW w:w="1474" w:type="dxa"/>
            <w:vAlign w:val="center"/>
          </w:tcPr>
          <w:p>
            <w:pPr>
              <w:pStyle w:val="20"/>
            </w:pPr>
            <w:r>
              <w:t>1780.27</w:t>
            </w:r>
          </w:p>
        </w:tc>
        <w:tc>
          <w:tcPr>
            <w:tcW w:w="1474" w:type="dxa"/>
            <w:vAlign w:val="center"/>
          </w:tcPr>
          <w:p>
            <w:pPr>
              <w:pStyle w:val="20"/>
            </w:pPr>
            <w:r>
              <w:t>1780.27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1780.27</w:t>
            </w:r>
          </w:p>
        </w:tc>
        <w:tc>
          <w:tcPr>
            <w:tcW w:w="2551" w:type="dxa"/>
            <w:vAlign w:val="center"/>
          </w:tcPr>
          <w:p>
            <w:pPr>
              <w:pStyle w:val="20"/>
            </w:pPr>
            <w:r>
              <w:t>1768.51</w:t>
            </w:r>
          </w:p>
        </w:tc>
        <w:tc>
          <w:tcPr>
            <w:tcW w:w="2551" w:type="dxa"/>
            <w:vAlign w:val="center"/>
          </w:tcPr>
          <w:p>
            <w:pPr>
              <w:pStyle w:val="20"/>
            </w:pPr>
            <w:r>
              <w:t>11.76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1780.27</w:t>
            </w:r>
          </w:p>
        </w:tc>
        <w:tc>
          <w:tcPr>
            <w:tcW w:w="2551" w:type="dxa"/>
            <w:vAlign w:val="center"/>
          </w:tcPr>
          <w:p>
            <w:pPr>
              <w:pStyle w:val="16"/>
            </w:pPr>
            <w:r>
              <w:t>1768.51</w:t>
            </w:r>
          </w:p>
        </w:tc>
        <w:tc>
          <w:tcPr>
            <w:tcW w:w="2551" w:type="dxa"/>
            <w:vAlign w:val="center"/>
          </w:tcPr>
          <w:p>
            <w:pPr>
              <w:pStyle w:val="16"/>
            </w:pPr>
            <w:r>
              <w:t>11.76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1780.27</w:t>
            </w:r>
          </w:p>
        </w:tc>
        <w:tc>
          <w:tcPr>
            <w:tcW w:w="2551" w:type="dxa"/>
            <w:vAlign w:val="center"/>
          </w:tcPr>
          <w:p>
            <w:pPr>
              <w:pStyle w:val="16"/>
            </w:pPr>
            <w:r>
              <w:t>1768.51</w:t>
            </w:r>
          </w:p>
        </w:tc>
        <w:tc>
          <w:tcPr>
            <w:tcW w:w="2551" w:type="dxa"/>
            <w:vAlign w:val="center"/>
          </w:tcPr>
          <w:p>
            <w:pPr>
              <w:pStyle w:val="16"/>
            </w:pPr>
            <w:r>
              <w:t>11.76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1780.27</w:t>
            </w:r>
          </w:p>
        </w:tc>
        <w:tc>
          <w:tcPr>
            <w:tcW w:w="2551" w:type="dxa"/>
            <w:vAlign w:val="center"/>
          </w:tcPr>
          <w:p>
            <w:pPr>
              <w:pStyle w:val="16"/>
            </w:pPr>
            <w:r>
              <w:t>1768.51</w:t>
            </w:r>
          </w:p>
        </w:tc>
        <w:tc>
          <w:tcPr>
            <w:tcW w:w="2551" w:type="dxa"/>
            <w:vAlign w:val="center"/>
          </w:tcPr>
          <w:p>
            <w:pPr>
              <w:pStyle w:val="16"/>
            </w:pPr>
            <w:r>
              <w:t>11.76</w:t>
            </w: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1768.51</w:t>
            </w:r>
          </w:p>
        </w:tc>
        <w:tc>
          <w:tcPr>
            <w:tcW w:w="2551" w:type="dxa"/>
            <w:vAlign w:val="center"/>
          </w:tcPr>
          <w:p>
            <w:pPr>
              <w:pStyle w:val="20"/>
            </w:pPr>
            <w:r>
              <w:t>1751.37</w:t>
            </w:r>
          </w:p>
        </w:tc>
        <w:tc>
          <w:tcPr>
            <w:tcW w:w="2551" w:type="dxa"/>
            <w:vAlign w:val="center"/>
          </w:tcPr>
          <w:p>
            <w:pPr>
              <w:pStyle w:val="20"/>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1483.73</w:t>
            </w:r>
          </w:p>
        </w:tc>
        <w:tc>
          <w:tcPr>
            <w:tcW w:w="2551" w:type="dxa"/>
            <w:vAlign w:val="center"/>
          </w:tcPr>
          <w:p>
            <w:pPr>
              <w:pStyle w:val="16"/>
            </w:pPr>
            <w:r>
              <w:t>1483.73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454.41</w:t>
            </w:r>
          </w:p>
        </w:tc>
        <w:tc>
          <w:tcPr>
            <w:tcW w:w="2551" w:type="dxa"/>
            <w:vAlign w:val="center"/>
          </w:tcPr>
          <w:p>
            <w:pPr>
              <w:pStyle w:val="16"/>
            </w:pPr>
            <w:r>
              <w:t>454.41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180.83</w:t>
            </w:r>
          </w:p>
        </w:tc>
        <w:tc>
          <w:tcPr>
            <w:tcW w:w="2551" w:type="dxa"/>
            <w:vAlign w:val="center"/>
          </w:tcPr>
          <w:p>
            <w:pPr>
              <w:pStyle w:val="16"/>
            </w:pPr>
            <w:r>
              <w:t>180.83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247.91</w:t>
            </w:r>
          </w:p>
        </w:tc>
        <w:tc>
          <w:tcPr>
            <w:tcW w:w="2551" w:type="dxa"/>
            <w:vAlign w:val="center"/>
          </w:tcPr>
          <w:p>
            <w:pPr>
              <w:pStyle w:val="16"/>
            </w:pPr>
            <w:r>
              <w:t>247.91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293.83</w:t>
            </w:r>
          </w:p>
        </w:tc>
        <w:tc>
          <w:tcPr>
            <w:tcW w:w="2551" w:type="dxa"/>
            <w:vAlign w:val="center"/>
          </w:tcPr>
          <w:p>
            <w:pPr>
              <w:pStyle w:val="16"/>
            </w:pPr>
            <w:r>
              <w:t>293.83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142.62</w:t>
            </w:r>
          </w:p>
        </w:tc>
        <w:tc>
          <w:tcPr>
            <w:tcW w:w="2551" w:type="dxa"/>
            <w:vAlign w:val="center"/>
          </w:tcPr>
          <w:p>
            <w:pPr>
              <w:pStyle w:val="16"/>
            </w:pPr>
            <w:r>
              <w:t>142.62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41.27</w:t>
            </w:r>
          </w:p>
        </w:tc>
        <w:tc>
          <w:tcPr>
            <w:tcW w:w="2551" w:type="dxa"/>
            <w:vAlign w:val="center"/>
          </w:tcPr>
          <w:p>
            <w:pPr>
              <w:pStyle w:val="16"/>
            </w:pPr>
            <w:r>
              <w:t>41.27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4.51</w:t>
            </w:r>
          </w:p>
        </w:tc>
        <w:tc>
          <w:tcPr>
            <w:tcW w:w="2551" w:type="dxa"/>
            <w:vAlign w:val="center"/>
          </w:tcPr>
          <w:p>
            <w:pPr>
              <w:pStyle w:val="16"/>
            </w:pPr>
            <w:r>
              <w:t>4.51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116.19</w:t>
            </w:r>
          </w:p>
        </w:tc>
        <w:tc>
          <w:tcPr>
            <w:tcW w:w="2551" w:type="dxa"/>
            <w:vAlign w:val="center"/>
          </w:tcPr>
          <w:p>
            <w:pPr>
              <w:pStyle w:val="16"/>
            </w:pPr>
            <w:r>
              <w:t>116.19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2.16</w:t>
            </w:r>
          </w:p>
        </w:tc>
        <w:tc>
          <w:tcPr>
            <w:tcW w:w="2551" w:type="dxa"/>
            <w:vAlign w:val="center"/>
          </w:tcPr>
          <w:p>
            <w:pPr>
              <w:pStyle w:val="16"/>
            </w:pPr>
            <w:r>
              <w:t>2.16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17.14</w:t>
            </w:r>
          </w:p>
        </w:tc>
        <w:tc>
          <w:tcPr>
            <w:tcW w:w="2551" w:type="dxa"/>
            <w:vAlign w:val="center"/>
          </w:tcPr>
          <w:p>
            <w:pPr>
              <w:pStyle w:val="16"/>
            </w:pPr>
          </w:p>
        </w:tc>
        <w:tc>
          <w:tcPr>
            <w:tcW w:w="2551" w:type="dxa"/>
            <w:vAlign w:val="center"/>
          </w:tcPr>
          <w:p>
            <w:pPr>
              <w:pStyle w:val="16"/>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8.63</w:t>
            </w:r>
          </w:p>
        </w:tc>
        <w:tc>
          <w:tcPr>
            <w:tcW w:w="2551" w:type="dxa"/>
            <w:vAlign w:val="center"/>
          </w:tcPr>
          <w:p>
            <w:pPr>
              <w:pStyle w:val="16"/>
            </w:pPr>
          </w:p>
        </w:tc>
        <w:tc>
          <w:tcPr>
            <w:tcW w:w="2551" w:type="dxa"/>
            <w:vAlign w:val="center"/>
          </w:tcPr>
          <w:p>
            <w:pPr>
              <w:pStyle w:val="16"/>
            </w:pPr>
            <w:r>
              <w:t>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8.51</w:t>
            </w:r>
          </w:p>
        </w:tc>
        <w:tc>
          <w:tcPr>
            <w:tcW w:w="2551" w:type="dxa"/>
            <w:vAlign w:val="center"/>
          </w:tcPr>
          <w:p>
            <w:pPr>
              <w:pStyle w:val="16"/>
            </w:pPr>
          </w:p>
        </w:tc>
        <w:tc>
          <w:tcPr>
            <w:tcW w:w="2551" w:type="dxa"/>
            <w:vAlign w:val="center"/>
          </w:tcPr>
          <w:p>
            <w:pPr>
              <w:pStyle w:val="16"/>
            </w:pPr>
            <w:r>
              <w:t>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267.64</w:t>
            </w:r>
          </w:p>
        </w:tc>
        <w:tc>
          <w:tcPr>
            <w:tcW w:w="2551" w:type="dxa"/>
            <w:vAlign w:val="center"/>
          </w:tcPr>
          <w:p>
            <w:pPr>
              <w:pStyle w:val="16"/>
            </w:pPr>
            <w:r>
              <w:t>267.64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267.41</w:t>
            </w:r>
          </w:p>
        </w:tc>
        <w:tc>
          <w:tcPr>
            <w:tcW w:w="2551" w:type="dxa"/>
            <w:vAlign w:val="center"/>
          </w:tcPr>
          <w:p>
            <w:pPr>
              <w:pStyle w:val="16"/>
            </w:pPr>
            <w:r>
              <w:t>267.41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0.23</w:t>
            </w:r>
          </w:p>
        </w:tc>
        <w:tc>
          <w:tcPr>
            <w:tcW w:w="2551" w:type="dxa"/>
            <w:vAlign w:val="center"/>
          </w:tcPr>
          <w:p>
            <w:pPr>
              <w:pStyle w:val="16"/>
            </w:pPr>
            <w:r>
              <w:t>0.23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廊坊市广阳区北旺镇东户屯中心小学2023年单位预算信息公开情况说明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8" w:name="_GoBack"/>
      <w:bookmarkEnd w:id="18"/>
      <w:r>
        <w:rPr>
          <w:rFonts w:eastAsia="方正仿宋_GBK" w:cs="Times New Roman"/>
          <w:color w:val="000000"/>
          <w:sz w:val="28"/>
        </w:rPr>
        <w:t>预算法》、《地方预决算公开操作规程》和《关于进一步推进预算公开工作的实施意见》规定，现将廊坊市广阳区北旺镇东户屯中心小学2023年单位预算公开如下：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（一）贯彻执行党和国家的教育方针、政策、法律法规，</w:t>
      </w:r>
      <w:r>
        <w:rPr>
          <w:rFonts w:hint="eastAsia"/>
          <w:lang w:eastAsia="zh-CN"/>
        </w:rPr>
        <w:t>制订</w:t>
      </w:r>
      <w:r>
        <w:t>我校的长远规划和年度计划，并组织实施。</w:t>
      </w:r>
    </w:p>
    <w:p>
      <w:pPr>
        <w:pStyle w:val="30"/>
      </w:pPr>
      <w:r>
        <w:t>（二）负责教育基本信息的统计、分析。</w:t>
      </w:r>
    </w:p>
    <w:p>
      <w:pPr>
        <w:pStyle w:val="30"/>
      </w:pPr>
      <w:r>
        <w:t>（三）负责基础教育的管理。推进义务教育均衡发展和促进教育公平，全面实施素质教育。</w:t>
      </w:r>
    </w:p>
    <w:p>
      <w:pPr>
        <w:pStyle w:val="30"/>
      </w:pPr>
      <w:r>
        <w:t>（四）负责学校教师队伍的建设和管理，提高教师队伍素质。</w:t>
      </w:r>
    </w:p>
    <w:p>
      <w:pPr>
        <w:pStyle w:val="30"/>
      </w:pPr>
      <w:r>
        <w:t>（五）负责本部门教育经费的统筹管理，教育经费预决算工作，教育经费的管理和使用；统筹规划和管理学校基本建设和设施的配置及计划统计工作。</w:t>
      </w:r>
    </w:p>
    <w:p>
      <w:pPr>
        <w:pStyle w:val="30"/>
      </w:pPr>
      <w:r>
        <w:t>（六）管理学校的党建、思想政治、宣传统战和维护稳定以及德育、体育、卫生防疫与艺术教育、国防教育工作；负责学校的安全监督管理。</w:t>
      </w:r>
    </w:p>
    <w:p>
      <w:pPr>
        <w:pStyle w:val="30"/>
      </w:pPr>
      <w:r>
        <w:t>（七）负责做好学校的招生、考试工作；负责管理本校教师学历教育及考试工作。</w:t>
      </w:r>
    </w:p>
    <w:p>
      <w:pPr>
        <w:pStyle w:val="30"/>
      </w:pPr>
      <w:r>
        <w:t>（八）负责组织开展学校教育的督导评估、检查验收、质量监测等工作。</w:t>
      </w:r>
    </w:p>
    <w:p>
      <w:pPr>
        <w:pStyle w:val="30"/>
      </w:pPr>
      <w:r>
        <w:t>（九）负责学校党的政治建设、思想建设、组织建设、作风建设、纪律建设和制度建设。</w:t>
      </w:r>
    </w:p>
    <w:p>
      <w:pPr>
        <w:pStyle w:val="30"/>
      </w:pPr>
      <w:r>
        <w:t>（十）负责学校学生和教师的思想政治工作，学校思想政治队伍建设和学校校本课程教育教学。</w:t>
      </w:r>
    </w:p>
    <w:p>
      <w:pPr>
        <w:pStyle w:val="30"/>
      </w:pPr>
      <w:r>
        <w:t>（十一）负责学校安全稳定工作。</w:t>
      </w:r>
    </w:p>
    <w:p>
      <w:pPr>
        <w:pStyle w:val="30"/>
      </w:pPr>
      <w:r>
        <w:t>（十二）做好本校体育事业发展规划、全民健身计划，开展群众性体育活动。</w:t>
      </w:r>
    </w:p>
    <w:p>
      <w:pPr>
        <w:pStyle w:val="30"/>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廊坊市广阳区北旺镇东户屯中心小学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反映本单位当年全部收入。2023年预算收入1780.27万元，其中：一般公共预算收入1780.27万元，基金预算收入0万元，财政专户核拨收入0万元，其他来源收入0万元，上年结转0万元。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广阳区北旺镇东户屯中心小学2023年度支出预算的总体情况。2023年支出预算1780.27万元，其中基本支出1768.51万元，包括人员经费1751.37万元和日常公用经费经费17.14万元；项目支出11.76万元，全部为本级支出，主要为办公费、培训费、水费、电费、维修（护）费、邮电费、取暖费、差旅费、劳务费、印刷费、其他商品和服务支出 。</w:t>
      </w:r>
    </w:p>
    <w:p>
      <w:pPr>
        <w:pStyle w:val="31"/>
      </w:pPr>
      <w:r>
        <w:t>3、比上年增减情况</w:t>
      </w:r>
    </w:p>
    <w:p>
      <w:pPr>
        <w:pStyle w:val="31"/>
      </w:pPr>
      <w:r>
        <w:t>2023年预算收支安排1780.27万元，较2022年预算有所增加1766.92万元，其中：基本支出增加1768.51万元，增加原因主要为人员经费支出增加；项目支出减少1.59万元，减少原因主要是人员支出项目减少。</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运行经费共计安排17.14万元，主要用于廊坊市广阳区北旺镇东户屯中心小学办公区的日常维修、办公用房水电费、办公用房取暖费、办公用房物业管理费等日常运行支出。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0万元。其中，因公出国（境）费0万元；公务用车购置及运维费0万元（其中：公务用车购置费为0万元，公务用车运维费0万元)；公务接待费0万元。与2022年相比持平0万元，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1、提高教育教学水平</w:t>
      </w:r>
    </w:p>
    <w:p>
      <w:pPr>
        <w:pStyle w:val="27"/>
      </w:pPr>
      <w:r>
        <w:t>绩效目标：免除农村中小学生学杂费，提供免费教科书，解决大班额问题及入学难问题。对贫困学生进行补助；提高教师学生综合素质。</w:t>
      </w:r>
    </w:p>
    <w:p>
      <w:pPr>
        <w:pStyle w:val="27"/>
      </w:pPr>
      <w:r>
        <w:t>绩效指标：学生学杂费免除率为100%，提供免费教科书学生率达到100%，解决大班额问题及入学难问题。对贫困学生进行补助。按质按量完成教育教学方面的各项任务，稳步提升学校的教育教学质量，学生综合素质评价优秀率达到80%,合格率达到100%。</w:t>
      </w:r>
    </w:p>
    <w:p>
      <w:pPr>
        <w:pStyle w:val="27"/>
      </w:pPr>
      <w:r>
        <w:t>2、改善办学条件</w:t>
      </w:r>
    </w:p>
    <w:p>
      <w:pPr>
        <w:pStyle w:val="27"/>
      </w:pPr>
      <w:r>
        <w:t>绩效目标：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7"/>
      </w:pPr>
      <w:r>
        <w:t>绩效指标：改善了义务教育阶段学校基本教学条件，使义务教育学校教学设施和生活设施满足基本教学需要，保障后勤社会化服务资金充足，使学校能够正常运转，100%消除大班额现象，教师数量、素质、结构基本适应教学需要。</w:t>
      </w:r>
    </w:p>
    <w:p>
      <w:pPr>
        <w:pStyle w:val="27"/>
      </w:pPr>
      <w:r>
        <w:t>3、提升学校基础设施设备的整体水平</w:t>
      </w:r>
    </w:p>
    <w:p>
      <w:pPr>
        <w:pStyle w:val="27"/>
      </w:pPr>
      <w:r>
        <w:t>绩效目标：加强学校基础设施设备的维护,确保校园安全,落实校园防火及其他安全隐患的预防工作。确保校园各设施设备的正常运行。</w:t>
      </w:r>
    </w:p>
    <w:p>
      <w:pPr>
        <w:pStyle w:val="27"/>
      </w:pPr>
      <w:r>
        <w:t>绩效指标：学校基础设施设备的实现基本维护,确保校园安全,落实校园防火及其他安全隐患的预防工作。确保校园各设施设备的正常运行。确保校园无有1例安全事件发生。</w:t>
      </w:r>
    </w:p>
    <w:p>
      <w:pPr>
        <w:pStyle w:val="27"/>
      </w:pPr>
      <w:r>
        <w:t>4、开展各类课题研究、校本研究</w:t>
      </w:r>
    </w:p>
    <w:p>
      <w:pPr>
        <w:pStyle w:val="27"/>
      </w:pPr>
      <w:r>
        <w:t>绩效目标：支持学校各类课题研究、校本研究和教师培训，提高教师教学水平。</w:t>
      </w:r>
    </w:p>
    <w:p>
      <w:pPr>
        <w:pStyle w:val="27"/>
      </w:pPr>
      <w:r>
        <w:t>绩效指标：支持完成2项市级课题研究，确保校本研修活动的顺利开展，实现教师培训和教学交流，提高教师教学水平，调动教师积极性，培养专家型教师人才，加强德育培训与研究，举办各类教育教学、学生社会实践活动。</w:t>
      </w:r>
    </w:p>
    <w:p>
      <w:pPr>
        <w:pStyle w:val="27"/>
      </w:pPr>
      <w:r>
        <w:t>5.较强校园文化建设，提高人民满意度</w:t>
      </w:r>
    </w:p>
    <w:p>
      <w:pPr>
        <w:pStyle w:val="27"/>
      </w:pPr>
      <w:r>
        <w:t>绩效目标：加大学校办学理念、目标的宣传,形成具有特色的校园文化氛围，提高人民满意度。</w:t>
      </w:r>
    </w:p>
    <w:p>
      <w:pPr>
        <w:pStyle w:val="27"/>
      </w:pPr>
      <w:r>
        <w:t>绩效指标：学校的文化宣传整体布局,完成各班级、各科室及教师办公室的文化宣传布置。加大学校办学理念、目标的宣传,形成具有特色的校园文化氛围。办人民满意的学校,教师、学生、家长整体满意度达到90%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pStyle w:val="28"/>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12"/>
        <w:gridCol w:w="512"/>
        <w:gridCol w:w="2617"/>
        <w:gridCol w:w="3586"/>
        <w:gridCol w:w="4631"/>
        <w:gridCol w:w="513"/>
        <w:gridCol w:w="470"/>
        <w:gridCol w:w="1038"/>
        <w:gridCol w:w="9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Theme="minorEastAsia"/>
                <w:color w:val="000000"/>
                <w:sz w:val="22"/>
                <w:szCs w:val="22"/>
                <w:lang w:eastAsia="zh-CN"/>
              </w:rPr>
              <w:t>单位</w:t>
            </w:r>
            <w:r>
              <w:rPr>
                <w:rFonts w:hint="eastAsia" w:ascii="方正书宋_GBK" w:eastAsia="方正书宋_GBK"/>
                <w:color w:val="000000"/>
                <w:sz w:val="22"/>
                <w:szCs w:val="22"/>
              </w:rPr>
              <w:t>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每未完成1人，扣减分值1%</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53</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财政供养人数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每增多5%，扣标准分值的5%。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16</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每减少1次，减数量分值的10%。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12</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工资(福利)等发放精准性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每未准确发放1笔，扣减分值5%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工资福利等发放人员范围的精准性和发放数据的准确性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每未准确缴纳1笔，扣减分值5%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社会保障（公积金）缴纳数据的准确性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每降低5%，扣标准分值的5%。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各项日常工作保障率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达到指标目标值得满分，达到80%目标值得权重分的50%，低于80%不得分。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工资(福利)发放及时性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未及时发放1 次，扣减分值5%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工资福利等发放的时效情况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按规定时间发放</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未及时缴纳1 次，扣减分值5%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社会保障（公积金）等缴纳的时效情况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按规定时间缴纳</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每出现1次未在规定时间内开展，扣10%权重分。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按规定执行得满分，否则不得分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日常公用经费开支标准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每超过一项规定标准扣标准分值的10%。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办公费、水电费、交通费、会议费、工会经费、招待费及其他公用经费的开支标准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按统一规定执行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每超出成本1%，扣2.5%权重分。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开展教育教学活动每月成本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0.98</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万元</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Theme="minorEastAsia"/>
                <w:color w:val="000000"/>
                <w:sz w:val="22"/>
                <w:szCs w:val="22"/>
                <w:lang w:eastAsia="zh-CN"/>
              </w:rPr>
              <w:t>单位</w:t>
            </w:r>
            <w:r>
              <w:rPr>
                <w:rFonts w:hint="eastAsia" w:ascii="方正书宋_GBK" w:eastAsia="方正书宋_GBK"/>
                <w:color w:val="000000"/>
                <w:sz w:val="22"/>
                <w:szCs w:val="22"/>
              </w:rPr>
              <w:t>效果</w:t>
            </w: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保持相对稳定得满分，否则不得分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通过按时按标准发放工资福利等，进一步增强干部职工得归属感，保持职工队伍相对稳定，保障办公正常运转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保持职工队伍相对稳定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维持单位正常运转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保障学校正常教育教学活动开展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达标得满分，基本达标得80%权重分，部分达标得60%权重分，不达标不得分。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有效保障学校正常教育教学活动开展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1、非公办在职教师经费绩效目标表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1."消除信访隐患、关心关爱家庭困难教师、支持教育事业发展的原则，根据陈超、唐晓燕、骆会敏三位老师自身实际，解决她们的待遇问题</w:t>
            </w:r>
          </w:p>
          <w:p>
            <w:pPr>
              <w:pStyle w:val="17"/>
            </w:pPr>
            <w:r>
              <w:t>"</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保障人数</w:t>
            </w:r>
          </w:p>
        </w:tc>
        <w:tc>
          <w:tcPr>
            <w:tcW w:w="2551" w:type="dxa"/>
            <w:vAlign w:val="center"/>
          </w:tcPr>
          <w:p>
            <w:pPr>
              <w:pStyle w:val="17"/>
            </w:pPr>
            <w:r>
              <w:t>3人</w:t>
            </w:r>
          </w:p>
        </w:tc>
        <w:tc>
          <w:tcPr>
            <w:tcW w:w="2268" w:type="dxa"/>
            <w:vAlign w:val="center"/>
          </w:tcPr>
          <w:p>
            <w:pPr>
              <w:pStyle w:val="17"/>
            </w:pPr>
            <w:r>
              <w:t>廊坊市广阳区人民政府专题会议纪要[2019]1031号文件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工资（福利）等发放精准性</w:t>
            </w:r>
          </w:p>
        </w:tc>
        <w:tc>
          <w:tcPr>
            <w:tcW w:w="2835" w:type="dxa"/>
            <w:vAlign w:val="center"/>
          </w:tcPr>
          <w:p>
            <w:pPr>
              <w:pStyle w:val="17"/>
            </w:pPr>
            <w:r>
              <w:t>工资福利等发放人员范围的精准性和发放的精准性</w:t>
            </w:r>
          </w:p>
        </w:tc>
        <w:tc>
          <w:tcPr>
            <w:tcW w:w="2551" w:type="dxa"/>
            <w:vAlign w:val="center"/>
          </w:tcPr>
          <w:p>
            <w:pPr>
              <w:pStyle w:val="17"/>
            </w:pPr>
            <w:r>
              <w:t>100%</w:t>
            </w:r>
          </w:p>
        </w:tc>
        <w:tc>
          <w:tcPr>
            <w:tcW w:w="2268" w:type="dxa"/>
            <w:vAlign w:val="center"/>
          </w:tcPr>
          <w:p>
            <w:pPr>
              <w:pStyle w:val="17"/>
            </w:pPr>
            <w:r>
              <w:t>廊坊市广阳区人民政府专题会议纪要[2019]1031号文件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社会保障缴纳数据的精准性</w:t>
            </w:r>
          </w:p>
        </w:tc>
        <w:tc>
          <w:tcPr>
            <w:tcW w:w="2835" w:type="dxa"/>
            <w:vAlign w:val="center"/>
          </w:tcPr>
          <w:p>
            <w:pPr>
              <w:pStyle w:val="17"/>
            </w:pPr>
            <w:r>
              <w:t>社会保障缴纳数据的精准性</w:t>
            </w:r>
          </w:p>
        </w:tc>
        <w:tc>
          <w:tcPr>
            <w:tcW w:w="2551" w:type="dxa"/>
            <w:vAlign w:val="center"/>
          </w:tcPr>
          <w:p>
            <w:pPr>
              <w:pStyle w:val="17"/>
            </w:pPr>
            <w:r>
              <w:t>100%</w:t>
            </w:r>
          </w:p>
        </w:tc>
        <w:tc>
          <w:tcPr>
            <w:tcW w:w="2268" w:type="dxa"/>
            <w:vAlign w:val="center"/>
          </w:tcPr>
          <w:p>
            <w:pPr>
              <w:pStyle w:val="17"/>
            </w:pPr>
            <w:r>
              <w:t>廊坊市广阳区人民政府专题会议纪要[2019]1031号文件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工资（福利）发放及时性</w:t>
            </w:r>
          </w:p>
        </w:tc>
        <w:tc>
          <w:tcPr>
            <w:tcW w:w="2835" w:type="dxa"/>
            <w:vAlign w:val="center"/>
          </w:tcPr>
          <w:p>
            <w:pPr>
              <w:pStyle w:val="17"/>
            </w:pPr>
            <w:r>
              <w:t>工资福利等发放的实效情况</w:t>
            </w:r>
          </w:p>
        </w:tc>
        <w:tc>
          <w:tcPr>
            <w:tcW w:w="2551" w:type="dxa"/>
            <w:vAlign w:val="center"/>
          </w:tcPr>
          <w:p>
            <w:pPr>
              <w:pStyle w:val="17"/>
            </w:pPr>
            <w:r>
              <w:t>按规定时间发放</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工资（福利）社会保障发放（缴纳）及时性</w:t>
            </w:r>
          </w:p>
        </w:tc>
        <w:tc>
          <w:tcPr>
            <w:tcW w:w="2835" w:type="dxa"/>
            <w:vAlign w:val="center"/>
          </w:tcPr>
          <w:p>
            <w:pPr>
              <w:pStyle w:val="17"/>
            </w:pPr>
            <w:r>
              <w:t>工资（福利）、社会保障发放（缴纳）</w:t>
            </w:r>
          </w:p>
        </w:tc>
        <w:tc>
          <w:tcPr>
            <w:tcW w:w="2551" w:type="dxa"/>
            <w:vAlign w:val="center"/>
          </w:tcPr>
          <w:p>
            <w:pPr>
              <w:pStyle w:val="17"/>
            </w:pPr>
            <w:r>
              <w:t>按规定时间执行</w:t>
            </w:r>
          </w:p>
        </w:tc>
        <w:tc>
          <w:tcPr>
            <w:tcW w:w="2268" w:type="dxa"/>
            <w:vAlign w:val="center"/>
          </w:tcPr>
          <w:p>
            <w:pPr>
              <w:pStyle w:val="17"/>
            </w:pPr>
            <w:r>
              <w:t>廊坊市广阳区人民政府专题会议纪要[2019]1031号文件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保持干部队伍稳定</w:t>
            </w:r>
          </w:p>
        </w:tc>
        <w:tc>
          <w:tcPr>
            <w:tcW w:w="2835" w:type="dxa"/>
            <w:vAlign w:val="center"/>
          </w:tcPr>
          <w:p>
            <w:pPr>
              <w:pStyle w:val="17"/>
            </w:pPr>
            <w:r>
              <w:t>通过按时按标准发放工资福利等，进一步保持干部队伍稳定</w:t>
            </w:r>
          </w:p>
        </w:tc>
        <w:tc>
          <w:tcPr>
            <w:tcW w:w="2551" w:type="dxa"/>
            <w:vAlign w:val="center"/>
          </w:tcPr>
          <w:p>
            <w:pPr>
              <w:pStyle w:val="17"/>
            </w:pPr>
            <w:r>
              <w:t>保持相对稳定</w:t>
            </w:r>
          </w:p>
        </w:tc>
        <w:tc>
          <w:tcPr>
            <w:tcW w:w="2268" w:type="dxa"/>
            <w:vAlign w:val="center"/>
          </w:tcPr>
          <w:p>
            <w:pPr>
              <w:pStyle w:val="17"/>
            </w:pPr>
            <w:r>
              <w:t>廊坊市广阳区人民政府专题会议纪要[2019]1031号文件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人员满意度</w:t>
            </w:r>
          </w:p>
        </w:tc>
        <w:tc>
          <w:tcPr>
            <w:tcW w:w="2835" w:type="dxa"/>
            <w:vAlign w:val="center"/>
          </w:tcPr>
          <w:p>
            <w:pPr>
              <w:pStyle w:val="17"/>
            </w:pPr>
            <w:r>
              <w:t>人员对工资福利等发放工作的满意度。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1.廊坊市广阳区 北旺镇东户屯中心小学对2023年在校学生149人，按照义务教育生均公用经费标准申请财政预算资金，通过合理、合规使用资金达到保证学校正常运转，改善办学条件，促进义务教育发展。</w:t>
            </w:r>
            <w:r>
              <w:tab/>
            </w:r>
            <w:r>
              <w:tab/>
            </w:r>
            <w:r>
              <w:tab/>
            </w:r>
            <w:r>
              <w:tab/>
            </w:r>
            <w:r>
              <w:tab/>
            </w:r>
            <w:r>
              <w:tab/>
            </w:r>
          </w:p>
          <w:p>
            <w:pPr>
              <w:pStyle w:val="17"/>
            </w:pPr>
            <w:r>
              <w:tab/>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149人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2023年，廊坊市广阳区北旺镇东户屯中心小学安排政府采购预算0.00万元。具体内容见下表。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廊坊市广阳区北旺镇东户屯中心小学上年末固定资产金额为11.57万元（详见下表）。本年度拟购置固定资产总额为0.00万元，已按要求列入政府采购预算，详见政府采购预算表。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982001廊坊市广阳区北旺镇东户屯中心小学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1024</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120</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11.57</w:t>
            </w:r>
          </w:p>
        </w:tc>
      </w:tr>
    </w:tbl>
    <w:p>
      <w:pPr>
        <w:ind w:firstLine="640"/>
      </w:pP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DF7B1A"/>
    <w:rsid w:val="00370B60"/>
    <w:rsid w:val="00455B33"/>
    <w:rsid w:val="005C5064"/>
    <w:rsid w:val="00DF7B1A"/>
    <w:rsid w:val="00F3749C"/>
    <w:rsid w:val="20E50F07"/>
    <w:rsid w:val="32F44C71"/>
    <w:rsid w:val="3B5911AF"/>
    <w:rsid w:val="463101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qFormat/>
    <w:uiPriority w:val="99"/>
    <w:rPr>
      <w:rFonts w:ascii="Times New Roman" w:hAnsi="Times New Roman" w:eastAsia="Times New Roman"/>
      <w:sz w:val="18"/>
      <w:szCs w:val="18"/>
      <w:lang w:eastAsia="uk-UA"/>
    </w:rPr>
  </w:style>
  <w:style w:type="character" w:customStyle="1" w:styleId="35">
    <w:name w:val="页脚 Char"/>
    <w:basedOn w:val="10"/>
    <w:link w:val="3"/>
    <w:semiHidden/>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2023-03-13T09:22:05Z</dcterms:created>
  <dcterms:modified xsi:type="dcterms:W3CDTF">2023-03-13T01:22:05Z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2023-03-13T09:22:05Z</dcterms:created>
  <dcterms:modified xsi:type="dcterms:W3CDTF">2023-03-13T01:22:05Z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2023-03-13T09:22:05Z</dcterms:created>
  <dcterms:modified xsi:type="dcterms:W3CDTF">2023-03-13T01:22:04Z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2023-03-13T09:22:05Z</dcterms:created>
  <dcterms:modified xsi:type="dcterms:W3CDTF">2023-03-13T01:22:05Z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2023-03-13T09:22:08Z</dcterms:created>
  <dcterms:modified xsi:type="dcterms:W3CDTF">2023-03-13T01:22:08Z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2023-03-13T09:22:05Z</dcterms:created>
  <dcterms:modified xsi:type="dcterms:W3CDTF">2023-03-13T01:22:05Z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2023-03-13T09:22:08Z</dcterms:created>
  <dcterms:modified xsi:type="dcterms:W3CDTF">2023-03-13T01:22:08Z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2023-03-13T09:22:08Z</dcterms:created>
  <dcterms:modified xsi:type="dcterms:W3CDTF">2023-03-13T01:22:08Z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2023-03-13T09:22:09Z</dcterms:created>
  <dcterms:modified xsi:type="dcterms:W3CDTF">2023-03-13T01:22:09Z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D6B1B19-6599-46DA-BC7D-2E3792F1174B}">
  <ds:schemaRefs/>
</ds:datastoreItem>
</file>

<file path=customXml/itemProps10.xml><?xml version="1.0" encoding="utf-8"?>
<ds:datastoreItem xmlns:ds="http://schemas.openxmlformats.org/officeDocument/2006/customXml" ds:itemID="{906CE8EB-13BB-45D9-847D-3A5C3EC99016}">
  <ds:schemaRefs/>
</ds:datastoreItem>
</file>

<file path=customXml/itemProps11.xml><?xml version="1.0" encoding="utf-8"?>
<ds:datastoreItem xmlns:ds="http://schemas.openxmlformats.org/officeDocument/2006/customXml" ds:itemID="{452A4D67-1CDA-4F21-BCEF-A88BCC88CD6E}">
  <ds:schemaRefs/>
</ds:datastoreItem>
</file>

<file path=customXml/itemProps12.xml><?xml version="1.0" encoding="utf-8"?>
<ds:datastoreItem xmlns:ds="http://schemas.openxmlformats.org/officeDocument/2006/customXml" ds:itemID="{3C5DC4CA-429A-4941-BA0F-B0BF79A1B25E}">
  <ds:schemaRefs/>
</ds:datastoreItem>
</file>

<file path=customXml/itemProps13.xml><?xml version="1.0" encoding="utf-8"?>
<ds:datastoreItem xmlns:ds="http://schemas.openxmlformats.org/officeDocument/2006/customXml" ds:itemID="{C99530A7-F98D-4E02-BA26-77720E734688}">
  <ds:schemaRefs/>
</ds:datastoreItem>
</file>

<file path=customXml/itemProps14.xml><?xml version="1.0" encoding="utf-8"?>
<ds:datastoreItem xmlns:ds="http://schemas.openxmlformats.org/officeDocument/2006/customXml" ds:itemID="{D3E53601-EEF3-4690-B855-A6E50E70055C}">
  <ds:schemaRefs/>
</ds:datastoreItem>
</file>

<file path=customXml/itemProps15.xml><?xml version="1.0" encoding="utf-8"?>
<ds:datastoreItem xmlns:ds="http://schemas.openxmlformats.org/officeDocument/2006/customXml" ds:itemID="{30AA8A6A-F477-4073-94AC-C62892AF43DC}">
  <ds:schemaRefs/>
</ds:datastoreItem>
</file>

<file path=customXml/itemProps16.xml><?xml version="1.0" encoding="utf-8"?>
<ds:datastoreItem xmlns:ds="http://schemas.openxmlformats.org/officeDocument/2006/customXml" ds:itemID="{405D0BE4-E2C1-4B13-8DDE-48D6561A5876}">
  <ds:schemaRefs/>
</ds:datastoreItem>
</file>

<file path=customXml/itemProps17.xml><?xml version="1.0" encoding="utf-8"?>
<ds:datastoreItem xmlns:ds="http://schemas.openxmlformats.org/officeDocument/2006/customXml" ds:itemID="{E9A10A77-B6CB-4FF7-B9B0-C0B84C382380}">
  <ds:schemaRefs/>
</ds:datastoreItem>
</file>

<file path=customXml/itemProps18.xml><?xml version="1.0" encoding="utf-8"?>
<ds:datastoreItem xmlns:ds="http://schemas.openxmlformats.org/officeDocument/2006/customXml" ds:itemID="{D90D024A-9F0E-4789-9E85-4D7ABB41D679}">
  <ds:schemaRefs/>
</ds:datastoreItem>
</file>

<file path=customXml/itemProps2.xml><?xml version="1.0" encoding="utf-8"?>
<ds:datastoreItem xmlns:ds="http://schemas.openxmlformats.org/officeDocument/2006/customXml" ds:itemID="{84A559F0-FA7C-43A7-BCB2-C910E0562243}">
  <ds:schemaRefs/>
</ds:datastoreItem>
</file>

<file path=customXml/itemProps3.xml><?xml version="1.0" encoding="utf-8"?>
<ds:datastoreItem xmlns:ds="http://schemas.openxmlformats.org/officeDocument/2006/customXml" ds:itemID="{D2B4FF58-3693-4F68-A326-90260F538A70}">
  <ds:schemaRefs/>
</ds:datastoreItem>
</file>

<file path=customXml/itemProps4.xml><?xml version="1.0" encoding="utf-8"?>
<ds:datastoreItem xmlns:ds="http://schemas.openxmlformats.org/officeDocument/2006/customXml" ds:itemID="{5E98BB8C-5A47-4AB2-87DA-299E2783B644}">
  <ds:schemaRefs/>
</ds:datastoreItem>
</file>

<file path=customXml/itemProps5.xml><?xml version="1.0" encoding="utf-8"?>
<ds:datastoreItem xmlns:ds="http://schemas.openxmlformats.org/officeDocument/2006/customXml" ds:itemID="{15FAEE10-AA96-4F6A-8719-A517A4C712AA}">
  <ds:schemaRefs/>
</ds:datastoreItem>
</file>

<file path=customXml/itemProps6.xml><?xml version="1.0" encoding="utf-8"?>
<ds:datastoreItem xmlns:ds="http://schemas.openxmlformats.org/officeDocument/2006/customXml" ds:itemID="{6B61B8ED-920B-4630-A4B1-7B7B5EB2BEC0}">
  <ds:schemaRefs/>
</ds:datastoreItem>
</file>

<file path=customXml/itemProps7.xml><?xml version="1.0" encoding="utf-8"?>
<ds:datastoreItem xmlns:ds="http://schemas.openxmlformats.org/officeDocument/2006/customXml" ds:itemID="{58B02A55-1E5D-4752-92CC-7F4919F0D157}">
  <ds:schemaRefs/>
</ds:datastoreItem>
</file>

<file path=customXml/itemProps8.xml><?xml version="1.0" encoding="utf-8"?>
<ds:datastoreItem xmlns:ds="http://schemas.openxmlformats.org/officeDocument/2006/customXml" ds:itemID="{22FED045-21A9-4A5B-8E54-30ECCEA4BD61}">
  <ds:schemaRefs/>
</ds:datastoreItem>
</file>

<file path=customXml/itemProps9.xml><?xml version="1.0" encoding="utf-8"?>
<ds:datastoreItem xmlns:ds="http://schemas.openxmlformats.org/officeDocument/2006/customXml" ds:itemID="{1D458787-44C7-4628-85D0-862D5286A9EF}">
  <ds:schemaRefs/>
</ds:datastoreItem>
</file>

<file path=docProps/app.xml><?xml version="1.0" encoding="utf-8"?>
<Properties xmlns="http://schemas.openxmlformats.org/officeDocument/2006/extended-properties" xmlns:vt="http://schemas.openxmlformats.org/officeDocument/2006/docPropsVTypes">
  <Template>Normal</Template>
  <Pages>29</Pages>
  <Words>1806</Words>
  <Characters>10297</Characters>
  <Lines>85</Lines>
  <Paragraphs>24</Paragraphs>
  <TotalTime>0</TotalTime>
  <ScaleCrop>false</ScaleCrop>
  <LinksUpToDate>false</LinksUpToDate>
  <CharactersWithSpaces>12079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2023-03-13T09:22:00Z</dcterms:created>
  <dc:creator>lenovo001</dc:creator>
  <cp:lastModifiedBy>Administrator</cp:lastModifiedBy>
  <dcterms:modified xsi:type="dcterms:W3CDTF">2024-01-10T10:44:17Z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A8DF1A89005845C985E5DE2E6B2C3A67</vt:lpwstr>
  </property>
</Properties>
</file>