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439廊坊市广阳区第九幼儿园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215.45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215.45</w:t>
            </w:r>
          </w:p>
        </w:tc>
        <w:tc>
          <w:tcPr>
            <w:tcW w:w="4535" w:type="dxa"/>
            <w:vAlign w:val="center"/>
          </w:tcPr>
          <w:p>
            <w:pPr>
              <w:pStyle w:val="19"/>
            </w:pPr>
            <w:r>
              <w:t>本年支出合计</w:t>
            </w:r>
          </w:p>
        </w:tc>
        <w:tc>
          <w:tcPr>
            <w:tcW w:w="2126" w:type="dxa"/>
            <w:vAlign w:val="center"/>
          </w:tcPr>
          <w:p>
            <w:pPr>
              <w:pStyle w:val="20"/>
            </w:pPr>
            <w:r>
              <w:t>215.45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215.45</w:t>
            </w:r>
          </w:p>
        </w:tc>
        <w:tc>
          <w:tcPr>
            <w:tcW w:w="4535" w:type="dxa"/>
            <w:vAlign w:val="center"/>
          </w:tcPr>
          <w:p>
            <w:pPr>
              <w:pStyle w:val="19"/>
            </w:pPr>
            <w:r>
              <w:t>支出总计</w:t>
            </w:r>
          </w:p>
        </w:tc>
        <w:tc>
          <w:tcPr>
            <w:tcW w:w="2126" w:type="dxa"/>
            <w:vAlign w:val="center"/>
          </w:tcPr>
          <w:p>
            <w:pPr>
              <w:pStyle w:val="20"/>
            </w:pPr>
            <w:r>
              <w:t>215.45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439廊坊市广阳区第九幼儿园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215.45</w:t>
            </w:r>
          </w:p>
        </w:tc>
        <w:tc>
          <w:tcPr>
            <w:tcW w:w="1134" w:type="dxa"/>
            <w:vAlign w:val="center"/>
          </w:tcPr>
          <w:p>
            <w:pPr>
              <w:pStyle w:val="20"/>
            </w:pPr>
            <w:r>
              <w:t>215.45</w:t>
            </w:r>
          </w:p>
        </w:tc>
        <w:tc>
          <w:tcPr>
            <w:tcW w:w="1134" w:type="dxa"/>
            <w:vAlign w:val="center"/>
          </w:tcPr>
          <w:p>
            <w:pPr>
              <w:pStyle w:val="20"/>
            </w:pPr>
            <w:r>
              <w:t>215.45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439廊坊市广阳区第九幼儿园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215.45</w:t>
            </w:r>
          </w:p>
        </w:tc>
        <w:tc>
          <w:tcPr>
            <w:tcW w:w="1361" w:type="dxa"/>
            <w:vAlign w:val="center"/>
          </w:tcPr>
          <w:p>
            <w:pPr>
              <w:pStyle w:val="20"/>
            </w:pPr>
            <w:r>
              <w:t>206.09</w:t>
            </w:r>
          </w:p>
        </w:tc>
        <w:tc>
          <w:tcPr>
            <w:tcW w:w="1361" w:type="dxa"/>
            <w:vAlign w:val="center"/>
          </w:tcPr>
          <w:p>
            <w:pPr>
              <w:pStyle w:val="20"/>
            </w:pPr>
            <w:r>
              <w:t>9.36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215.45</w:t>
            </w:r>
          </w:p>
        </w:tc>
        <w:tc>
          <w:tcPr>
            <w:tcW w:w="1361" w:type="dxa"/>
            <w:vAlign w:val="center"/>
          </w:tcPr>
          <w:p>
            <w:pPr>
              <w:pStyle w:val="16"/>
            </w:pPr>
            <w:r>
              <w:t>206.09</w:t>
            </w:r>
          </w:p>
        </w:tc>
        <w:tc>
          <w:tcPr>
            <w:tcW w:w="1361" w:type="dxa"/>
            <w:vAlign w:val="center"/>
          </w:tcPr>
          <w:p>
            <w:pPr>
              <w:pStyle w:val="16"/>
            </w:pPr>
            <w:r>
              <w:t>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215.45</w:t>
            </w:r>
          </w:p>
        </w:tc>
        <w:tc>
          <w:tcPr>
            <w:tcW w:w="1361" w:type="dxa"/>
            <w:vAlign w:val="center"/>
          </w:tcPr>
          <w:p>
            <w:pPr>
              <w:pStyle w:val="16"/>
            </w:pPr>
            <w:r>
              <w:t>206.09</w:t>
            </w:r>
          </w:p>
        </w:tc>
        <w:tc>
          <w:tcPr>
            <w:tcW w:w="1361" w:type="dxa"/>
            <w:vAlign w:val="center"/>
          </w:tcPr>
          <w:p>
            <w:pPr>
              <w:pStyle w:val="16"/>
            </w:pPr>
            <w:r>
              <w:t>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215.45</w:t>
            </w:r>
          </w:p>
        </w:tc>
        <w:tc>
          <w:tcPr>
            <w:tcW w:w="1361" w:type="dxa"/>
            <w:vAlign w:val="center"/>
          </w:tcPr>
          <w:p>
            <w:pPr>
              <w:pStyle w:val="16"/>
            </w:pPr>
            <w:r>
              <w:t>206.09</w:t>
            </w:r>
          </w:p>
        </w:tc>
        <w:tc>
          <w:tcPr>
            <w:tcW w:w="1361" w:type="dxa"/>
            <w:vAlign w:val="center"/>
          </w:tcPr>
          <w:p>
            <w:pPr>
              <w:pStyle w:val="16"/>
            </w:pPr>
            <w:r>
              <w:t>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439廊坊市广阳区第九幼儿园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215.45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215.45</w:t>
            </w:r>
          </w:p>
        </w:tc>
        <w:tc>
          <w:tcPr>
            <w:tcW w:w="1474" w:type="dxa"/>
            <w:vAlign w:val="center"/>
          </w:tcPr>
          <w:p>
            <w:pPr>
              <w:pStyle w:val="16"/>
            </w:pPr>
            <w:r>
              <w:t>215.45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215.45</w:t>
            </w:r>
          </w:p>
        </w:tc>
        <w:tc>
          <w:tcPr>
            <w:tcW w:w="3402" w:type="dxa"/>
            <w:vAlign w:val="center"/>
          </w:tcPr>
          <w:p>
            <w:pPr>
              <w:pStyle w:val="19"/>
            </w:pPr>
            <w:r>
              <w:t>本年支出合计</w:t>
            </w:r>
          </w:p>
        </w:tc>
        <w:tc>
          <w:tcPr>
            <w:tcW w:w="1474" w:type="dxa"/>
            <w:vAlign w:val="center"/>
          </w:tcPr>
          <w:p>
            <w:pPr>
              <w:pStyle w:val="20"/>
            </w:pPr>
            <w:r>
              <w:t>215.45</w:t>
            </w:r>
          </w:p>
        </w:tc>
        <w:tc>
          <w:tcPr>
            <w:tcW w:w="1474" w:type="dxa"/>
            <w:vAlign w:val="center"/>
          </w:tcPr>
          <w:p>
            <w:pPr>
              <w:pStyle w:val="20"/>
            </w:pPr>
            <w:r>
              <w:t>215.45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215.45</w:t>
            </w:r>
          </w:p>
        </w:tc>
        <w:tc>
          <w:tcPr>
            <w:tcW w:w="3402" w:type="dxa"/>
            <w:vAlign w:val="center"/>
          </w:tcPr>
          <w:p>
            <w:pPr>
              <w:pStyle w:val="19"/>
            </w:pPr>
            <w:r>
              <w:t>支出总计</w:t>
            </w:r>
          </w:p>
        </w:tc>
        <w:tc>
          <w:tcPr>
            <w:tcW w:w="1474" w:type="dxa"/>
            <w:vAlign w:val="center"/>
          </w:tcPr>
          <w:p>
            <w:pPr>
              <w:pStyle w:val="20"/>
            </w:pPr>
            <w:r>
              <w:t>215.45</w:t>
            </w:r>
          </w:p>
        </w:tc>
        <w:tc>
          <w:tcPr>
            <w:tcW w:w="1474" w:type="dxa"/>
            <w:vAlign w:val="center"/>
          </w:tcPr>
          <w:p>
            <w:pPr>
              <w:pStyle w:val="20"/>
            </w:pPr>
            <w:r>
              <w:t>215.45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215.45</w:t>
            </w:r>
          </w:p>
        </w:tc>
        <w:tc>
          <w:tcPr>
            <w:tcW w:w="2551" w:type="dxa"/>
            <w:vAlign w:val="center"/>
          </w:tcPr>
          <w:p>
            <w:pPr>
              <w:pStyle w:val="20"/>
            </w:pPr>
            <w:r>
              <w:t>206.09</w:t>
            </w:r>
          </w:p>
        </w:tc>
        <w:tc>
          <w:tcPr>
            <w:tcW w:w="2551" w:type="dxa"/>
            <w:vAlign w:val="center"/>
          </w:tcPr>
          <w:p>
            <w:pPr>
              <w:pStyle w:val="20"/>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215.45</w:t>
            </w:r>
          </w:p>
        </w:tc>
        <w:tc>
          <w:tcPr>
            <w:tcW w:w="2551" w:type="dxa"/>
            <w:vAlign w:val="center"/>
          </w:tcPr>
          <w:p>
            <w:pPr>
              <w:pStyle w:val="16"/>
            </w:pPr>
            <w:r>
              <w:t>206.09</w:t>
            </w:r>
          </w:p>
        </w:tc>
        <w:tc>
          <w:tcPr>
            <w:tcW w:w="2551" w:type="dxa"/>
            <w:vAlign w:val="center"/>
          </w:tcPr>
          <w:p>
            <w:pPr>
              <w:pStyle w:val="16"/>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215.45</w:t>
            </w:r>
          </w:p>
        </w:tc>
        <w:tc>
          <w:tcPr>
            <w:tcW w:w="2551" w:type="dxa"/>
            <w:vAlign w:val="center"/>
          </w:tcPr>
          <w:p>
            <w:pPr>
              <w:pStyle w:val="16"/>
            </w:pPr>
            <w:r>
              <w:t>206.09</w:t>
            </w:r>
          </w:p>
        </w:tc>
        <w:tc>
          <w:tcPr>
            <w:tcW w:w="2551" w:type="dxa"/>
            <w:vAlign w:val="center"/>
          </w:tcPr>
          <w:p>
            <w:pPr>
              <w:pStyle w:val="16"/>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215.45</w:t>
            </w:r>
          </w:p>
        </w:tc>
        <w:tc>
          <w:tcPr>
            <w:tcW w:w="2551" w:type="dxa"/>
            <w:vAlign w:val="center"/>
          </w:tcPr>
          <w:p>
            <w:pPr>
              <w:pStyle w:val="16"/>
            </w:pPr>
            <w:r>
              <w:t>206.09</w:t>
            </w:r>
          </w:p>
        </w:tc>
        <w:tc>
          <w:tcPr>
            <w:tcW w:w="2551" w:type="dxa"/>
            <w:vAlign w:val="center"/>
          </w:tcPr>
          <w:p>
            <w:pPr>
              <w:pStyle w:val="16"/>
            </w:pPr>
            <w:r>
              <w:t>9.36</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206.09</w:t>
            </w:r>
          </w:p>
        </w:tc>
        <w:tc>
          <w:tcPr>
            <w:tcW w:w="2551" w:type="dxa"/>
            <w:vAlign w:val="center"/>
          </w:tcPr>
          <w:p>
            <w:pPr>
              <w:pStyle w:val="20"/>
            </w:pPr>
            <w:r>
              <w:t>206.09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206.09</w:t>
            </w:r>
          </w:p>
        </w:tc>
        <w:tc>
          <w:tcPr>
            <w:tcW w:w="2551" w:type="dxa"/>
            <w:vAlign w:val="center"/>
          </w:tcPr>
          <w:p>
            <w:pPr>
              <w:pStyle w:val="16"/>
            </w:pPr>
            <w:r>
              <w:t>206.09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52.99</w:t>
            </w:r>
          </w:p>
        </w:tc>
        <w:tc>
          <w:tcPr>
            <w:tcW w:w="2551" w:type="dxa"/>
            <w:vAlign w:val="center"/>
          </w:tcPr>
          <w:p>
            <w:pPr>
              <w:pStyle w:val="16"/>
            </w:pPr>
            <w:r>
              <w:t>52.99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21.23</w:t>
            </w:r>
          </w:p>
        </w:tc>
        <w:tc>
          <w:tcPr>
            <w:tcW w:w="2551" w:type="dxa"/>
            <w:vAlign w:val="center"/>
          </w:tcPr>
          <w:p>
            <w:pPr>
              <w:pStyle w:val="16"/>
            </w:pPr>
            <w:r>
              <w:t>21.23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40.18</w:t>
            </w:r>
          </w:p>
        </w:tc>
        <w:tc>
          <w:tcPr>
            <w:tcW w:w="2551" w:type="dxa"/>
            <w:vAlign w:val="center"/>
          </w:tcPr>
          <w:p>
            <w:pPr>
              <w:pStyle w:val="16"/>
            </w:pPr>
            <w:r>
              <w:t>40.18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48.07</w:t>
            </w:r>
          </w:p>
        </w:tc>
        <w:tc>
          <w:tcPr>
            <w:tcW w:w="2551" w:type="dxa"/>
            <w:vAlign w:val="center"/>
          </w:tcPr>
          <w:p>
            <w:pPr>
              <w:pStyle w:val="16"/>
            </w:pPr>
            <w:r>
              <w:t>48.07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19.43</w:t>
            </w:r>
          </w:p>
        </w:tc>
        <w:tc>
          <w:tcPr>
            <w:tcW w:w="2551" w:type="dxa"/>
            <w:vAlign w:val="center"/>
          </w:tcPr>
          <w:p>
            <w:pPr>
              <w:pStyle w:val="16"/>
            </w:pPr>
            <w:r>
              <w:t>19.43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6.79</w:t>
            </w:r>
          </w:p>
        </w:tc>
        <w:tc>
          <w:tcPr>
            <w:tcW w:w="2551" w:type="dxa"/>
            <w:vAlign w:val="center"/>
          </w:tcPr>
          <w:p>
            <w:pPr>
              <w:pStyle w:val="16"/>
            </w:pPr>
            <w:r>
              <w:t>6.79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0.57</w:t>
            </w:r>
          </w:p>
        </w:tc>
        <w:tc>
          <w:tcPr>
            <w:tcW w:w="2551" w:type="dxa"/>
            <w:vAlign w:val="center"/>
          </w:tcPr>
          <w:p>
            <w:pPr>
              <w:pStyle w:val="16"/>
            </w:pPr>
            <w:r>
              <w:t>0.57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16.30</w:t>
            </w:r>
          </w:p>
        </w:tc>
        <w:tc>
          <w:tcPr>
            <w:tcW w:w="2551" w:type="dxa"/>
            <w:vAlign w:val="center"/>
          </w:tcPr>
          <w:p>
            <w:pPr>
              <w:pStyle w:val="16"/>
            </w:pPr>
            <w:r>
              <w:t>16.30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0.54</w:t>
            </w:r>
          </w:p>
        </w:tc>
        <w:tc>
          <w:tcPr>
            <w:tcW w:w="2551" w:type="dxa"/>
            <w:vAlign w:val="center"/>
          </w:tcPr>
          <w:p>
            <w:pPr>
              <w:pStyle w:val="16"/>
            </w:pPr>
            <w:r>
              <w:t>0.54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439廊坊市广阳区第九幼儿园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廊坊市广阳区第九幼儿园2023年部门预算信息公开情况说明</w:t>
      </w:r>
    </w:p>
    <w:p>
      <w:pPr>
        <w:jc w:val="center"/>
      </w:pPr>
      <w:r>
        <w:rPr>
          <w:rFonts w:ascii="方正小标宋_GBK" w:hAnsi="方正小标宋_GBK" w:eastAsia="方正小标宋_GBK" w:cs="方正小标宋_GBK"/>
          <w:color w:val="000000"/>
          <w:sz w:val="44"/>
        </w:rPr>
        <w:t>廊坊市广阳区第九幼儿园2023年部门预算信息公开情况说明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预算法》、《地方预决算公开操作规程》和《关于进一步推进预算公开工作的实施意见》规定，现将廊坊市广阳区第九幼儿园2023年部门预算公开如下：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（三）负责学前教育的管理。推进学前教育均衡发展和促进教育公平，全面实施素质教育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廊坊市广阳区第九幼儿园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按照预算管理有关规定，目前我区部门预算的编制实行综合预算管理，即全部收入和支出都反映在预算中。廊坊市广阳区第九幼儿园机关及所属事业单位的收支包含在部门预算中。</w:t>
      </w:r>
    </w:p>
    <w:p>
      <w:pPr>
        <w:pStyle w:val="23"/>
      </w:pPr>
      <w:r>
        <w:t>1、收入说明</w:t>
      </w:r>
    </w:p>
    <w:p>
      <w:pPr>
        <w:pStyle w:val="23"/>
      </w:pPr>
      <w:r>
        <w:t>反映本部门当年全部收入。2023年预算收入215.45万元，其中：一般公共预算收入215.45万元，基金预算收入0万元，财政专户核拨收入0万元，其他来源收入0万元，上年结转0万元。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第九幼儿园2023年度部门预算中支出预算的总体情况。2023年支出预算215.45万元，其中：基本支出206.09万元，包括人员经费206.09万元和日常公用经费0万元；项目支出9.36万元，全部为本级支出，主要为学前阶段生均公用经费项目,。</w:t>
      </w:r>
    </w:p>
    <w:p>
      <w:pPr>
        <w:pStyle w:val="23"/>
      </w:pPr>
      <w:r>
        <w:t>3、比上年增减情况</w:t>
      </w:r>
    </w:p>
    <w:p>
      <w:pPr>
        <w:pStyle w:val="23"/>
      </w:pPr>
      <w:r>
        <w:t>2023年预算收支安排215.45万元，较2022年预算增加38.14万元，其中：基本支出增加206.09万元，增加原因主要为人员经费支出增加。项目支出减少167.95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园舍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r>
        <w:tab/>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r>
        <w:tab/>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r>
        <w:tab/>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1、成立幼儿园监督小组，监督幼儿园工作，强化工作落实。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4、幼儿园体育、卫生工作。根据《幼儿园健康体检管理办法》要求，对在园学生每年进行1次常规健康体检。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992"/>
        <w:gridCol w:w="1843"/>
        <w:gridCol w:w="5387"/>
        <w:gridCol w:w="2409"/>
        <w:gridCol w:w="709"/>
        <w:gridCol w:w="567"/>
        <w:gridCol w:w="609"/>
        <w:gridCol w:w="15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3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4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88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38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409"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6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3"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满足教育教学学生人数</w:t>
            </w:r>
          </w:p>
        </w:tc>
        <w:tc>
          <w:tcPr>
            <w:tcW w:w="538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满足教育教学学生人数</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234</w:t>
            </w:r>
          </w:p>
        </w:tc>
        <w:tc>
          <w:tcPr>
            <w:tcW w:w="6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843"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购买产品和服务的合格率</w:t>
            </w:r>
          </w:p>
        </w:tc>
        <w:tc>
          <w:tcPr>
            <w:tcW w:w="538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20%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购买产品和服务的合格率</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产品和服务的使用验收情况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843"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各项任务完成及时率</w:t>
            </w:r>
          </w:p>
        </w:tc>
        <w:tc>
          <w:tcPr>
            <w:tcW w:w="538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用于保障学校工作完成及时率</w:t>
            </w:r>
          </w:p>
        </w:tc>
        <w:tc>
          <w:tcPr>
            <w:tcW w:w="709" w:type="dxa"/>
            <w:shd w:val="clear" w:color="auto" w:fill="auto"/>
            <w:tcMar>
              <w:top w:w="15" w:type="dxa"/>
              <w:left w:w="15" w:type="dxa"/>
              <w:bottom w:w="0" w:type="dxa"/>
              <w:right w:w="15" w:type="dxa"/>
            </w:tcMa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tcPr>
          <w:p>
            <w:pPr>
              <w:jc w:val="cente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tcPr>
          <w:p>
            <w:pPr>
              <w:jc w:val="cente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3"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幼儿生均经费标准</w:t>
            </w:r>
          </w:p>
        </w:tc>
        <w:tc>
          <w:tcPr>
            <w:tcW w:w="538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幼儿生均经费标准</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400</w:t>
            </w:r>
          </w:p>
        </w:tc>
        <w:tc>
          <w:tcPr>
            <w:tcW w:w="6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冀财教【</w:t>
            </w:r>
            <w:r>
              <w:rPr>
                <w:color w:val="000000"/>
              </w:rPr>
              <w:t>2018</w:t>
            </w:r>
            <w:r>
              <w:rPr>
                <w:rFonts w:hint="eastAsia" w:ascii="宋体" w:hAnsi="宋体" w:eastAsia="宋体" w:cs="宋体"/>
                <w:color w:val="000000"/>
              </w:rPr>
              <w:t>】</w:t>
            </w:r>
            <w:r>
              <w:rPr>
                <w:color w:val="000000"/>
              </w:rPr>
              <w:t>99</w:t>
            </w:r>
            <w:r>
              <w:rPr>
                <w:rFonts w:hint="eastAsia" w:ascii="宋体" w:hAnsi="宋体" w:eastAsia="宋体" w:cs="宋体"/>
                <w:color w:val="000000"/>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3"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学前教育高质量发展</w:t>
            </w:r>
          </w:p>
        </w:tc>
        <w:tc>
          <w:tcPr>
            <w:tcW w:w="538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该资金用于学校正常运转，改善办学条件</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6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改善</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工作计划、工作总结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843"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w:t>
            </w:r>
          </w:p>
        </w:tc>
        <w:tc>
          <w:tcPr>
            <w:tcW w:w="538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在校师生的满意度</w:t>
            </w:r>
          </w:p>
        </w:tc>
        <w:tc>
          <w:tcPr>
            <w:tcW w:w="709"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6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234人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2023年，廊坊市广阳区第九幼儿园安排政府采购预算0.00万元。具体内容见下表。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439廊坊市广阳区第九幼儿园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廊坊市广阳区第九幼儿园（含所属单位）上年末固定资产金额为0.00万元（详见下表）。本年度拟购置固定资产总额为0.00万元，已按要求列入政府采购预算，详见政府采购预算表。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439廊坊市广阳区第九幼儿园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42ED6"/>
    <w:rsid w:val="00120AFF"/>
    <w:rsid w:val="00237CA7"/>
    <w:rsid w:val="008D009B"/>
    <w:rsid w:val="00905D15"/>
    <w:rsid w:val="009B5D42"/>
    <w:rsid w:val="00A42ED6"/>
    <w:rsid w:val="00E90957"/>
    <w:rsid w:val="00F25557"/>
    <w:rsid w:val="00F538C0"/>
    <w:rsid w:val="04092091"/>
    <w:rsid w:val="3AAB2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2023-03-13T11:07:32Z</dcterms:created>
  <dcterms:modified xsi:type="dcterms:W3CDTF">2023-03-13T03:07:32Z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2023-03-13T11:07:29Z</dcterms:created>
  <dcterms:modified xsi:type="dcterms:W3CDTF">2023-03-13T03:07:29Z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AAFA126-A93E-4316-B2C0-92EE02A4F232}">
  <ds:schemaRefs/>
</ds:datastoreItem>
</file>

<file path=customXml/itemProps10.xml><?xml version="1.0" encoding="utf-8"?>
<ds:datastoreItem xmlns:ds="http://schemas.openxmlformats.org/officeDocument/2006/customXml" ds:itemID="{CBAB6996-01B5-4223-A57C-013A9F0AFEFD}">
  <ds:schemaRefs/>
</ds:datastoreItem>
</file>

<file path=customXml/itemProps11.xml><?xml version="1.0" encoding="utf-8"?>
<ds:datastoreItem xmlns:ds="http://schemas.openxmlformats.org/officeDocument/2006/customXml" ds:itemID="{015BDC29-F0A2-4DB9-A7F7-736C6DB8223D}">
  <ds:schemaRefs/>
</ds:datastoreItem>
</file>

<file path=customXml/itemProps12.xml><?xml version="1.0" encoding="utf-8"?>
<ds:datastoreItem xmlns:ds="http://schemas.openxmlformats.org/officeDocument/2006/customXml" ds:itemID="{1A34A5C8-F731-4EBB-A88A-FF6226AF98E1}">
  <ds:schemaRefs/>
</ds:datastoreItem>
</file>

<file path=customXml/itemProps13.xml><?xml version="1.0" encoding="utf-8"?>
<ds:datastoreItem xmlns:ds="http://schemas.openxmlformats.org/officeDocument/2006/customXml" ds:itemID="{182AACE6-F564-4E47-A5D3-16DF456297D2}">
  <ds:schemaRefs/>
</ds:datastoreItem>
</file>

<file path=customXml/itemProps14.xml><?xml version="1.0" encoding="utf-8"?>
<ds:datastoreItem xmlns:ds="http://schemas.openxmlformats.org/officeDocument/2006/customXml" ds:itemID="{046A6476-B3F2-4C29-A30F-AF0B894ECA96}">
  <ds:schemaRefs/>
</ds:datastoreItem>
</file>

<file path=customXml/itemProps2.xml><?xml version="1.0" encoding="utf-8"?>
<ds:datastoreItem xmlns:ds="http://schemas.openxmlformats.org/officeDocument/2006/customXml" ds:itemID="{0DAE9893-0D0D-45F3-BBDB-BEDF280008F6}">
  <ds:schemaRefs/>
</ds:datastoreItem>
</file>

<file path=customXml/itemProps3.xml><?xml version="1.0" encoding="utf-8"?>
<ds:datastoreItem xmlns:ds="http://schemas.openxmlformats.org/officeDocument/2006/customXml" ds:itemID="{E3AD9BF8-6FCA-4670-8E98-7B687C2FBF40}">
  <ds:schemaRefs/>
</ds:datastoreItem>
</file>

<file path=customXml/itemProps4.xml><?xml version="1.0" encoding="utf-8"?>
<ds:datastoreItem xmlns:ds="http://schemas.openxmlformats.org/officeDocument/2006/customXml" ds:itemID="{5521287B-8820-4FC5-9E7B-07869A690F53}">
  <ds:schemaRefs/>
</ds:datastoreItem>
</file>

<file path=customXml/itemProps5.xml><?xml version="1.0" encoding="utf-8"?>
<ds:datastoreItem xmlns:ds="http://schemas.openxmlformats.org/officeDocument/2006/customXml" ds:itemID="{0584ED4B-8081-47E0-A96D-F37BC516CA38}">
  <ds:schemaRefs/>
</ds:datastoreItem>
</file>

<file path=customXml/itemProps6.xml><?xml version="1.0" encoding="utf-8"?>
<ds:datastoreItem xmlns:ds="http://schemas.openxmlformats.org/officeDocument/2006/customXml" ds:itemID="{9AA87328-BD3F-4B20-88D4-180097DEB8D8}">
  <ds:schemaRefs/>
</ds:datastoreItem>
</file>

<file path=customXml/itemProps7.xml><?xml version="1.0" encoding="utf-8"?>
<ds:datastoreItem xmlns:ds="http://schemas.openxmlformats.org/officeDocument/2006/customXml" ds:itemID="{155C13AC-0D0A-4322-99D2-A68454A68D1D}">
  <ds:schemaRefs/>
</ds:datastoreItem>
</file>

<file path=customXml/itemProps8.xml><?xml version="1.0" encoding="utf-8"?>
<ds:datastoreItem xmlns:ds="http://schemas.openxmlformats.org/officeDocument/2006/customXml" ds:itemID="{CCC3EA0F-4186-4A8C-B57D-5C84C3A772A4}">
  <ds:schemaRefs/>
</ds:datastoreItem>
</file>

<file path=customXml/itemProps9.xml><?xml version="1.0" encoding="utf-8"?>
<ds:datastoreItem xmlns:ds="http://schemas.openxmlformats.org/officeDocument/2006/customXml" ds:itemID="{0584D7FC-ADFF-4EA8-9818-BBBE8CD5CDC2}">
  <ds:schemaRefs/>
</ds:datastoreItem>
</file>

<file path=docProps/app.xml><?xml version="1.0" encoding="utf-8"?>
<Properties xmlns="http://schemas.openxmlformats.org/officeDocument/2006/extended-properties" xmlns:vt="http://schemas.openxmlformats.org/officeDocument/2006/docPropsVTypes">
  <Template>Normal</Template>
  <Pages>23</Pages>
  <Words>1421</Words>
  <Characters>8100</Characters>
  <Lines>67</Lines>
  <Paragraphs>19</Paragraphs>
  <TotalTime>3</TotalTime>
  <ScaleCrop>false</ScaleCrop>
  <LinksUpToDate>false</LinksUpToDate>
  <CharactersWithSpaces>9502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Administrator</cp:lastModifiedBy>
  <dcterms:modified xsi:type="dcterms:W3CDTF">2024-01-10T10:03:44Z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673118FA1AE547EEAB204BD206EFF67E</vt:lpwstr>
  </property>
</Properties>
</file>