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部门预算收支总表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部门预算收入总表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部门预算支出总表</w:t>
      </w:r>
      <w:r>
        <w:rPr>
          <w:rStyle w:val="11"/>
        </w:rPr>
        <w:tab/>
      </w:r>
      <w:r>
        <w:rPr>
          <w:rStyle w:val="11"/>
        </w:rPr>
        <w:t>6</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部门预算财政拨款收支总表</w:t>
      </w:r>
      <w:r>
        <w:rPr>
          <w:rStyle w:val="11"/>
        </w:rPr>
        <w:tab/>
      </w:r>
      <w:r>
        <w:rPr>
          <w:rStyle w:val="11"/>
        </w:rPr>
        <w:t>7</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部门预算一般公共预算财政拨款支出表</w:t>
      </w:r>
      <w:r>
        <w:rPr>
          <w:rStyle w:val="11"/>
        </w:rPr>
        <w:tab/>
      </w:r>
      <w:r>
        <w:rPr>
          <w:rStyle w:val="11"/>
        </w:rPr>
        <w:t>10</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部门预算一般公共预算财政拨款基本支出表</w:t>
      </w:r>
      <w:r>
        <w:rPr>
          <w:rStyle w:val="11"/>
        </w:rPr>
        <w:tab/>
      </w:r>
      <w:r>
        <w:rPr>
          <w:rStyle w:val="11"/>
        </w:rPr>
        <w:t>11</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部门预算政府基金预算财政拨款支出表</w:t>
      </w:r>
      <w:r>
        <w:rPr>
          <w:rStyle w:val="11"/>
        </w:rPr>
        <w:tab/>
      </w:r>
      <w:r>
        <w:rPr>
          <w:rStyle w:val="11"/>
        </w:rPr>
        <w:t>12</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部门预算国有资本经营预算财政拨款支出表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部门预算财政拨款“三公”经费支出表</w:t>
      </w:r>
      <w:r>
        <w:rPr>
          <w:rStyle w:val="11"/>
        </w:rPr>
        <w:tab/>
      </w:r>
      <w:r>
        <w:rPr>
          <w:rStyle w:val="11"/>
        </w:rPr>
        <w:t>14</w:t>
      </w:r>
      <w:r>
        <w:rPr>
          <w:rStyle w:val="11"/>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一、部门职责及机构设置情况</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二、部门预算安排的总体情况</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21</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22</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22</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23</w:t>
      </w:r>
      <w:r>
        <w:rPr>
          <w:rStyle w:val="11"/>
        </w:rPr>
        <w:fldChar w:fldCharType="end"/>
      </w:r>
    </w:p>
    <w:p>
      <w:r>
        <w:fldChar w:fldCharType="end"/>
      </w:r>
    </w:p>
    <w:p>
      <w:pPr>
        <w:pStyle w:val="5"/>
        <w:tabs>
          <w:tab w:val="right" w:leader="dot" w:pos="14562"/>
        </w:tabs>
      </w:pPr>
      <w:r>
        <w:fldChar w:fldCharType="begin"/>
      </w:r>
      <w:r>
        <w:instrText xml:space="preserve">TOC \o "4-4" \h \z \u</w:instrText>
      </w:r>
      <w:r>
        <w:fldChar w:fldCharType="separate"/>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tz_0001_0001"/>
      <w:bookmarkEnd w:id="0"/>
      <w:bookmarkStart w:id="1" w:name="_Toc_2_2_0000000001"/>
      <w:r>
        <w:rPr>
          <w:rFonts w:ascii="方正小标宋_GBK" w:hAnsi="方正小标宋_GBK" w:eastAsia="方正小标宋_GBK" w:cs="方正小标宋_GBK"/>
          <w:color w:val="000000"/>
          <w:sz w:val="36"/>
        </w:rPr>
        <w:t>部门预算收支总表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436廊坊市广阳区第六幼儿园</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822.53</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r>
              <w:t>822.53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822.53</w:t>
            </w:r>
          </w:p>
        </w:tc>
        <w:tc>
          <w:tcPr>
            <w:tcW w:w="4535" w:type="dxa"/>
            <w:vAlign w:val="center"/>
          </w:tcPr>
          <w:p>
            <w:pPr>
              <w:pStyle w:val="19"/>
            </w:pPr>
            <w:r>
              <w:t>本年支出合计</w:t>
            </w:r>
          </w:p>
        </w:tc>
        <w:tc>
          <w:tcPr>
            <w:tcW w:w="2126" w:type="dxa"/>
            <w:vAlign w:val="center"/>
          </w:tcPr>
          <w:p>
            <w:pPr>
              <w:pStyle w:val="20"/>
            </w:pPr>
            <w:r>
              <w:t>822.53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822.53</w:t>
            </w:r>
          </w:p>
        </w:tc>
        <w:tc>
          <w:tcPr>
            <w:tcW w:w="4535" w:type="dxa"/>
            <w:vAlign w:val="center"/>
          </w:tcPr>
          <w:p>
            <w:pPr>
              <w:pStyle w:val="19"/>
            </w:pPr>
            <w:r>
              <w:t>支出总计</w:t>
            </w:r>
          </w:p>
        </w:tc>
        <w:tc>
          <w:tcPr>
            <w:tcW w:w="2126" w:type="dxa"/>
            <w:vAlign w:val="center"/>
          </w:tcPr>
          <w:p>
            <w:pPr>
              <w:pStyle w:val="20"/>
            </w:pPr>
            <w:r>
              <w:t>822.53</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2" w:name="tz_0001_0002"/>
      <w:bookmarkEnd w:id="2"/>
      <w:bookmarkStart w:id="3" w:name="_Toc_2_2_0000000002"/>
      <w:r>
        <w:rPr>
          <w:rFonts w:ascii="方正小标宋_GBK" w:hAnsi="方正小标宋_GBK" w:eastAsia="方正小标宋_GBK" w:cs="方正小标宋_GBK"/>
          <w:color w:val="000000"/>
          <w:sz w:val="36"/>
        </w:rPr>
        <w:t>部门预算收入总表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436廊坊市广阳区第六幼儿园</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822.53</w:t>
            </w:r>
          </w:p>
        </w:tc>
        <w:tc>
          <w:tcPr>
            <w:tcW w:w="1134" w:type="dxa"/>
            <w:vAlign w:val="center"/>
          </w:tcPr>
          <w:p>
            <w:pPr>
              <w:pStyle w:val="20"/>
            </w:pPr>
            <w:r>
              <w:t>822.53</w:t>
            </w:r>
          </w:p>
        </w:tc>
        <w:tc>
          <w:tcPr>
            <w:tcW w:w="1134" w:type="dxa"/>
            <w:vAlign w:val="center"/>
          </w:tcPr>
          <w:p>
            <w:pPr>
              <w:pStyle w:val="20"/>
            </w:pPr>
            <w:r>
              <w:t>822.53</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205</w:t>
            </w:r>
          </w:p>
        </w:tc>
        <w:tc>
          <w:tcPr>
            <w:tcW w:w="1559" w:type="dxa"/>
            <w:vAlign w:val="center"/>
          </w:tcPr>
          <w:p>
            <w:pPr>
              <w:pStyle w:val="17"/>
            </w:pPr>
            <w:r>
              <w:t>教育支出</w:t>
            </w:r>
          </w:p>
        </w:tc>
        <w:tc>
          <w:tcPr>
            <w:tcW w:w="1134" w:type="dxa"/>
            <w:vAlign w:val="center"/>
          </w:tcPr>
          <w:p>
            <w:pPr>
              <w:pStyle w:val="16"/>
            </w:pPr>
            <w:r>
              <w:t>822.53</w:t>
            </w:r>
          </w:p>
        </w:tc>
        <w:tc>
          <w:tcPr>
            <w:tcW w:w="1134" w:type="dxa"/>
            <w:vAlign w:val="center"/>
          </w:tcPr>
          <w:p>
            <w:pPr>
              <w:pStyle w:val="16"/>
            </w:pPr>
            <w:r>
              <w:t>822.53</w:t>
            </w:r>
          </w:p>
        </w:tc>
        <w:tc>
          <w:tcPr>
            <w:tcW w:w="1134" w:type="dxa"/>
            <w:vAlign w:val="center"/>
          </w:tcPr>
          <w:p>
            <w:pPr>
              <w:pStyle w:val="16"/>
            </w:pPr>
            <w:r>
              <w:t>822.53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20502</w:t>
            </w:r>
          </w:p>
        </w:tc>
        <w:tc>
          <w:tcPr>
            <w:tcW w:w="1559" w:type="dxa"/>
            <w:vAlign w:val="center"/>
          </w:tcPr>
          <w:p>
            <w:pPr>
              <w:pStyle w:val="17"/>
            </w:pPr>
            <w:r>
              <w:t>普通教育</w:t>
            </w:r>
          </w:p>
        </w:tc>
        <w:tc>
          <w:tcPr>
            <w:tcW w:w="1134" w:type="dxa"/>
            <w:vAlign w:val="center"/>
          </w:tcPr>
          <w:p>
            <w:pPr>
              <w:pStyle w:val="16"/>
            </w:pPr>
            <w:r>
              <w:t>822.53</w:t>
            </w:r>
          </w:p>
        </w:tc>
        <w:tc>
          <w:tcPr>
            <w:tcW w:w="1134" w:type="dxa"/>
            <w:vAlign w:val="center"/>
          </w:tcPr>
          <w:p>
            <w:pPr>
              <w:pStyle w:val="16"/>
            </w:pPr>
            <w:r>
              <w:t>822.53</w:t>
            </w:r>
          </w:p>
        </w:tc>
        <w:tc>
          <w:tcPr>
            <w:tcW w:w="1134" w:type="dxa"/>
            <w:vAlign w:val="center"/>
          </w:tcPr>
          <w:p>
            <w:pPr>
              <w:pStyle w:val="16"/>
            </w:pPr>
            <w:r>
              <w:t>822.53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2050201</w:t>
            </w:r>
          </w:p>
        </w:tc>
        <w:tc>
          <w:tcPr>
            <w:tcW w:w="1559" w:type="dxa"/>
            <w:vAlign w:val="center"/>
          </w:tcPr>
          <w:p>
            <w:pPr>
              <w:pStyle w:val="17"/>
            </w:pPr>
            <w:r>
              <w:t>学前教育</w:t>
            </w:r>
          </w:p>
        </w:tc>
        <w:tc>
          <w:tcPr>
            <w:tcW w:w="1134" w:type="dxa"/>
            <w:vAlign w:val="center"/>
          </w:tcPr>
          <w:p>
            <w:pPr>
              <w:pStyle w:val="16"/>
            </w:pPr>
            <w:r>
              <w:t>822.53</w:t>
            </w:r>
          </w:p>
        </w:tc>
        <w:tc>
          <w:tcPr>
            <w:tcW w:w="1134" w:type="dxa"/>
            <w:vAlign w:val="center"/>
          </w:tcPr>
          <w:p>
            <w:pPr>
              <w:pStyle w:val="16"/>
            </w:pPr>
            <w:r>
              <w:t>822.53</w:t>
            </w:r>
          </w:p>
        </w:tc>
        <w:tc>
          <w:tcPr>
            <w:tcW w:w="1134" w:type="dxa"/>
            <w:vAlign w:val="center"/>
          </w:tcPr>
          <w:p>
            <w:pPr>
              <w:pStyle w:val="16"/>
            </w:pPr>
            <w:r>
              <w:t>822.53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4" w:name="tz_0001_0003"/>
      <w:bookmarkEnd w:id="4"/>
      <w:bookmarkStart w:id="5" w:name="_Toc_2_2_0000000003"/>
      <w:r>
        <w:rPr>
          <w:rFonts w:ascii="方正小标宋_GBK" w:hAnsi="方正小标宋_GBK" w:eastAsia="方正小标宋_GBK" w:cs="方正小标宋_GBK"/>
          <w:color w:val="000000"/>
          <w:sz w:val="36"/>
        </w:rPr>
        <w:t>部门预算支出总表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436廊坊市广阳区第六幼儿园</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822.53</w:t>
            </w:r>
          </w:p>
        </w:tc>
        <w:tc>
          <w:tcPr>
            <w:tcW w:w="1361" w:type="dxa"/>
            <w:vAlign w:val="center"/>
          </w:tcPr>
          <w:p>
            <w:pPr>
              <w:pStyle w:val="20"/>
            </w:pPr>
            <w:r>
              <w:t>822.53</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205</w:t>
            </w:r>
          </w:p>
        </w:tc>
        <w:tc>
          <w:tcPr>
            <w:tcW w:w="4535" w:type="dxa"/>
            <w:vAlign w:val="center"/>
          </w:tcPr>
          <w:p>
            <w:pPr>
              <w:pStyle w:val="17"/>
            </w:pPr>
            <w:r>
              <w:t>教育支出</w:t>
            </w:r>
          </w:p>
        </w:tc>
        <w:tc>
          <w:tcPr>
            <w:tcW w:w="1361" w:type="dxa"/>
            <w:vAlign w:val="center"/>
          </w:tcPr>
          <w:p>
            <w:pPr>
              <w:pStyle w:val="16"/>
            </w:pPr>
            <w:r>
              <w:t>822.53</w:t>
            </w:r>
          </w:p>
        </w:tc>
        <w:tc>
          <w:tcPr>
            <w:tcW w:w="1361" w:type="dxa"/>
            <w:vAlign w:val="center"/>
          </w:tcPr>
          <w:p>
            <w:pPr>
              <w:pStyle w:val="16"/>
            </w:pPr>
            <w:r>
              <w:t>822.53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20502</w:t>
            </w:r>
          </w:p>
        </w:tc>
        <w:tc>
          <w:tcPr>
            <w:tcW w:w="4535" w:type="dxa"/>
            <w:vAlign w:val="center"/>
          </w:tcPr>
          <w:p>
            <w:pPr>
              <w:pStyle w:val="17"/>
            </w:pPr>
            <w:r>
              <w:t>普通教育</w:t>
            </w:r>
          </w:p>
        </w:tc>
        <w:tc>
          <w:tcPr>
            <w:tcW w:w="1361" w:type="dxa"/>
            <w:vAlign w:val="center"/>
          </w:tcPr>
          <w:p>
            <w:pPr>
              <w:pStyle w:val="16"/>
            </w:pPr>
            <w:r>
              <w:t>822.53</w:t>
            </w:r>
          </w:p>
        </w:tc>
        <w:tc>
          <w:tcPr>
            <w:tcW w:w="1361" w:type="dxa"/>
            <w:vAlign w:val="center"/>
          </w:tcPr>
          <w:p>
            <w:pPr>
              <w:pStyle w:val="16"/>
            </w:pPr>
            <w:r>
              <w:t>822.53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2050201</w:t>
            </w:r>
          </w:p>
        </w:tc>
        <w:tc>
          <w:tcPr>
            <w:tcW w:w="4535" w:type="dxa"/>
            <w:vAlign w:val="center"/>
          </w:tcPr>
          <w:p>
            <w:pPr>
              <w:pStyle w:val="17"/>
            </w:pPr>
            <w:r>
              <w:t>学前教育</w:t>
            </w:r>
          </w:p>
        </w:tc>
        <w:tc>
          <w:tcPr>
            <w:tcW w:w="1361" w:type="dxa"/>
            <w:vAlign w:val="center"/>
          </w:tcPr>
          <w:p>
            <w:pPr>
              <w:pStyle w:val="16"/>
            </w:pPr>
            <w:r>
              <w:t>822.53</w:t>
            </w:r>
          </w:p>
        </w:tc>
        <w:tc>
          <w:tcPr>
            <w:tcW w:w="1361" w:type="dxa"/>
            <w:vAlign w:val="center"/>
          </w:tcPr>
          <w:p>
            <w:pPr>
              <w:pStyle w:val="16"/>
            </w:pPr>
            <w:r>
              <w:t>822.53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6" w:name="tz_0001_0004"/>
      <w:bookmarkEnd w:id="6"/>
      <w:bookmarkStart w:id="7" w:name="_Toc_2_2_0000000004"/>
      <w:r>
        <w:rPr>
          <w:rFonts w:ascii="方正小标宋_GBK" w:hAnsi="方正小标宋_GBK" w:eastAsia="方正小标宋_GBK" w:cs="方正小标宋_GBK"/>
          <w:color w:val="000000"/>
          <w:sz w:val="36"/>
        </w:rPr>
        <w:t>部门预算财政拨款收支总表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436廊坊市广阳区第六幼儿园</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822.53</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r>
              <w:t>822.53</w:t>
            </w:r>
          </w:p>
        </w:tc>
        <w:tc>
          <w:tcPr>
            <w:tcW w:w="1474" w:type="dxa"/>
            <w:vAlign w:val="center"/>
          </w:tcPr>
          <w:p>
            <w:pPr>
              <w:pStyle w:val="16"/>
            </w:pPr>
            <w:r>
              <w:t>822.53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822.53</w:t>
            </w:r>
          </w:p>
        </w:tc>
        <w:tc>
          <w:tcPr>
            <w:tcW w:w="3402" w:type="dxa"/>
            <w:vAlign w:val="center"/>
          </w:tcPr>
          <w:p>
            <w:pPr>
              <w:pStyle w:val="19"/>
            </w:pPr>
            <w:r>
              <w:t>本年支出合计</w:t>
            </w:r>
          </w:p>
        </w:tc>
        <w:tc>
          <w:tcPr>
            <w:tcW w:w="1474" w:type="dxa"/>
            <w:vAlign w:val="center"/>
          </w:tcPr>
          <w:p>
            <w:pPr>
              <w:pStyle w:val="20"/>
            </w:pPr>
            <w:r>
              <w:t>822.53</w:t>
            </w:r>
          </w:p>
        </w:tc>
        <w:tc>
          <w:tcPr>
            <w:tcW w:w="1474" w:type="dxa"/>
            <w:vAlign w:val="center"/>
          </w:tcPr>
          <w:p>
            <w:pPr>
              <w:pStyle w:val="20"/>
            </w:pPr>
            <w:r>
              <w:t>822.53</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822.53</w:t>
            </w:r>
          </w:p>
        </w:tc>
        <w:tc>
          <w:tcPr>
            <w:tcW w:w="3402" w:type="dxa"/>
            <w:vAlign w:val="center"/>
          </w:tcPr>
          <w:p>
            <w:pPr>
              <w:pStyle w:val="19"/>
            </w:pPr>
            <w:r>
              <w:t>支出总计</w:t>
            </w:r>
          </w:p>
        </w:tc>
        <w:tc>
          <w:tcPr>
            <w:tcW w:w="1474" w:type="dxa"/>
            <w:vAlign w:val="center"/>
          </w:tcPr>
          <w:p>
            <w:pPr>
              <w:pStyle w:val="20"/>
            </w:pPr>
            <w:r>
              <w:t>822.53</w:t>
            </w:r>
          </w:p>
        </w:tc>
        <w:tc>
          <w:tcPr>
            <w:tcW w:w="1474" w:type="dxa"/>
            <w:vAlign w:val="center"/>
          </w:tcPr>
          <w:p>
            <w:pPr>
              <w:pStyle w:val="20"/>
            </w:pPr>
            <w:r>
              <w:t>822.53</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8" w:name="tz_0001_0005"/>
      <w:bookmarkEnd w:id="8"/>
      <w:bookmarkStart w:id="9" w:name="_Toc_2_2_0000000005"/>
      <w:r>
        <w:rPr>
          <w:rFonts w:ascii="方正小标宋_GBK" w:hAnsi="方正小标宋_GBK" w:eastAsia="方正小标宋_GBK" w:cs="方正小标宋_GBK"/>
          <w:color w:val="000000"/>
          <w:sz w:val="36"/>
        </w:rPr>
        <w:t>部门预算一般公共预算财政拨款支出表</w:t>
      </w:r>
      <w:bookmarkEnd w:id="9"/>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436廊坊市广阳区第六幼儿园</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822.53</w:t>
            </w:r>
          </w:p>
        </w:tc>
        <w:tc>
          <w:tcPr>
            <w:tcW w:w="2551" w:type="dxa"/>
            <w:vAlign w:val="center"/>
          </w:tcPr>
          <w:p>
            <w:pPr>
              <w:pStyle w:val="20"/>
            </w:pPr>
            <w:r>
              <w:t>822.53</w:t>
            </w:r>
          </w:p>
        </w:tc>
        <w:tc>
          <w:tcPr>
            <w:tcW w:w="255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205</w:t>
            </w:r>
          </w:p>
        </w:tc>
        <w:tc>
          <w:tcPr>
            <w:tcW w:w="4535" w:type="dxa"/>
            <w:vAlign w:val="center"/>
          </w:tcPr>
          <w:p>
            <w:pPr>
              <w:pStyle w:val="17"/>
            </w:pPr>
            <w:r>
              <w:t>教育支出</w:t>
            </w:r>
          </w:p>
        </w:tc>
        <w:tc>
          <w:tcPr>
            <w:tcW w:w="2551" w:type="dxa"/>
            <w:vAlign w:val="center"/>
          </w:tcPr>
          <w:p>
            <w:pPr>
              <w:pStyle w:val="16"/>
            </w:pPr>
            <w:r>
              <w:t>822.53</w:t>
            </w:r>
          </w:p>
        </w:tc>
        <w:tc>
          <w:tcPr>
            <w:tcW w:w="2551" w:type="dxa"/>
            <w:vAlign w:val="center"/>
          </w:tcPr>
          <w:p>
            <w:pPr>
              <w:pStyle w:val="16"/>
            </w:pPr>
            <w:r>
              <w:t>822.53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20502</w:t>
            </w:r>
          </w:p>
        </w:tc>
        <w:tc>
          <w:tcPr>
            <w:tcW w:w="4535" w:type="dxa"/>
            <w:vAlign w:val="center"/>
          </w:tcPr>
          <w:p>
            <w:pPr>
              <w:pStyle w:val="17"/>
            </w:pPr>
            <w:r>
              <w:t>普通教育</w:t>
            </w:r>
          </w:p>
        </w:tc>
        <w:tc>
          <w:tcPr>
            <w:tcW w:w="2551" w:type="dxa"/>
            <w:vAlign w:val="center"/>
          </w:tcPr>
          <w:p>
            <w:pPr>
              <w:pStyle w:val="16"/>
            </w:pPr>
            <w:r>
              <w:t>822.53</w:t>
            </w:r>
          </w:p>
        </w:tc>
        <w:tc>
          <w:tcPr>
            <w:tcW w:w="2551" w:type="dxa"/>
            <w:vAlign w:val="center"/>
          </w:tcPr>
          <w:p>
            <w:pPr>
              <w:pStyle w:val="16"/>
            </w:pPr>
            <w:r>
              <w:t>822.53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2050201</w:t>
            </w:r>
          </w:p>
        </w:tc>
        <w:tc>
          <w:tcPr>
            <w:tcW w:w="4535" w:type="dxa"/>
            <w:vAlign w:val="center"/>
          </w:tcPr>
          <w:p>
            <w:pPr>
              <w:pStyle w:val="17"/>
            </w:pPr>
            <w:r>
              <w:t>学前教育</w:t>
            </w:r>
          </w:p>
        </w:tc>
        <w:tc>
          <w:tcPr>
            <w:tcW w:w="2551" w:type="dxa"/>
            <w:vAlign w:val="center"/>
          </w:tcPr>
          <w:p>
            <w:pPr>
              <w:pStyle w:val="16"/>
            </w:pPr>
            <w:r>
              <w:t>822.53</w:t>
            </w:r>
          </w:p>
        </w:tc>
        <w:tc>
          <w:tcPr>
            <w:tcW w:w="2551" w:type="dxa"/>
            <w:vAlign w:val="center"/>
          </w:tcPr>
          <w:p>
            <w:pPr>
              <w:pStyle w:val="16"/>
            </w:pPr>
            <w:r>
              <w:t>822.53</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0" w:name="tz_0001_0006"/>
      <w:bookmarkEnd w:id="10"/>
      <w:bookmarkStart w:id="11" w:name="_Toc_2_2_0000000006"/>
      <w:r>
        <w:rPr>
          <w:rFonts w:ascii="方正小标宋_GBK" w:hAnsi="方正小标宋_GBK" w:eastAsia="方正小标宋_GBK" w:cs="方正小标宋_GBK"/>
          <w:color w:val="000000"/>
          <w:sz w:val="36"/>
        </w:rPr>
        <w:t>部门预算一般公共预算财政拨款基本支出表</w:t>
      </w:r>
      <w:bookmarkEnd w:id="1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436廊坊市广阳区第六幼儿园</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822.53</w:t>
            </w:r>
          </w:p>
        </w:tc>
        <w:tc>
          <w:tcPr>
            <w:tcW w:w="2551" w:type="dxa"/>
            <w:vAlign w:val="center"/>
          </w:tcPr>
          <w:p>
            <w:pPr>
              <w:pStyle w:val="20"/>
            </w:pPr>
            <w:r>
              <w:t>822.53</w:t>
            </w:r>
          </w:p>
        </w:tc>
        <w:tc>
          <w:tcPr>
            <w:tcW w:w="255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822.52</w:t>
            </w:r>
          </w:p>
        </w:tc>
        <w:tc>
          <w:tcPr>
            <w:tcW w:w="2551" w:type="dxa"/>
            <w:vAlign w:val="center"/>
          </w:tcPr>
          <w:p>
            <w:pPr>
              <w:pStyle w:val="16"/>
            </w:pPr>
            <w:r>
              <w:t>822.52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206.67</w:t>
            </w:r>
          </w:p>
        </w:tc>
        <w:tc>
          <w:tcPr>
            <w:tcW w:w="2551" w:type="dxa"/>
            <w:vAlign w:val="center"/>
          </w:tcPr>
          <w:p>
            <w:pPr>
              <w:pStyle w:val="16"/>
            </w:pPr>
            <w:r>
              <w:t>206.67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83.65</w:t>
            </w:r>
          </w:p>
        </w:tc>
        <w:tc>
          <w:tcPr>
            <w:tcW w:w="2551" w:type="dxa"/>
            <w:vAlign w:val="center"/>
          </w:tcPr>
          <w:p>
            <w:pPr>
              <w:pStyle w:val="16"/>
            </w:pPr>
            <w:r>
              <w:t>83.65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162.74</w:t>
            </w:r>
          </w:p>
        </w:tc>
        <w:tc>
          <w:tcPr>
            <w:tcW w:w="2551" w:type="dxa"/>
            <w:vAlign w:val="center"/>
          </w:tcPr>
          <w:p>
            <w:pPr>
              <w:pStyle w:val="16"/>
            </w:pPr>
            <w:r>
              <w:t>162.74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194.92</w:t>
            </w:r>
          </w:p>
        </w:tc>
        <w:tc>
          <w:tcPr>
            <w:tcW w:w="2551" w:type="dxa"/>
            <w:vAlign w:val="center"/>
          </w:tcPr>
          <w:p>
            <w:pPr>
              <w:pStyle w:val="16"/>
            </w:pPr>
            <w:r>
              <w:t>194.92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77.40</w:t>
            </w:r>
          </w:p>
        </w:tc>
        <w:tc>
          <w:tcPr>
            <w:tcW w:w="2551" w:type="dxa"/>
            <w:vAlign w:val="center"/>
          </w:tcPr>
          <w:p>
            <w:pPr>
              <w:pStyle w:val="16"/>
            </w:pPr>
            <w:r>
              <w:t>77.40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27.63</w:t>
            </w:r>
          </w:p>
        </w:tc>
        <w:tc>
          <w:tcPr>
            <w:tcW w:w="2551" w:type="dxa"/>
            <w:vAlign w:val="center"/>
          </w:tcPr>
          <w:p>
            <w:pPr>
              <w:pStyle w:val="16"/>
            </w:pPr>
            <w:r>
              <w:t>27.63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2.26</w:t>
            </w:r>
          </w:p>
        </w:tc>
        <w:tc>
          <w:tcPr>
            <w:tcW w:w="2551" w:type="dxa"/>
            <w:vAlign w:val="center"/>
          </w:tcPr>
          <w:p>
            <w:pPr>
              <w:pStyle w:val="16"/>
            </w:pPr>
            <w:r>
              <w:t>2.26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65.08</w:t>
            </w:r>
          </w:p>
        </w:tc>
        <w:tc>
          <w:tcPr>
            <w:tcW w:w="2551" w:type="dxa"/>
            <w:vAlign w:val="center"/>
          </w:tcPr>
          <w:p>
            <w:pPr>
              <w:pStyle w:val="16"/>
            </w:pPr>
            <w:r>
              <w:t>65.08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2.16</w:t>
            </w:r>
          </w:p>
        </w:tc>
        <w:tc>
          <w:tcPr>
            <w:tcW w:w="2551" w:type="dxa"/>
            <w:vAlign w:val="center"/>
          </w:tcPr>
          <w:p>
            <w:pPr>
              <w:pStyle w:val="16"/>
            </w:pPr>
            <w:r>
              <w:t>2.16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0.01</w:t>
            </w:r>
          </w:p>
        </w:tc>
        <w:tc>
          <w:tcPr>
            <w:tcW w:w="2551" w:type="dxa"/>
            <w:vAlign w:val="center"/>
          </w:tcPr>
          <w:p>
            <w:pPr>
              <w:pStyle w:val="16"/>
            </w:pPr>
            <w:r>
              <w:t>0.01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0.01</w:t>
            </w:r>
          </w:p>
        </w:tc>
        <w:tc>
          <w:tcPr>
            <w:tcW w:w="2551" w:type="dxa"/>
            <w:vAlign w:val="center"/>
          </w:tcPr>
          <w:p>
            <w:pPr>
              <w:pStyle w:val="16"/>
            </w:pPr>
            <w:r>
              <w:t>0.01</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2" w:name="tz_0001_0007"/>
      <w:bookmarkEnd w:id="12"/>
      <w:bookmarkStart w:id="13" w:name="_Toc_2_2_0000000007"/>
      <w:r>
        <w:rPr>
          <w:rFonts w:ascii="方正小标宋_GBK" w:hAnsi="方正小标宋_GBK" w:eastAsia="方正小标宋_GBK" w:cs="方正小标宋_GBK"/>
          <w:color w:val="000000"/>
          <w:sz w:val="36"/>
        </w:rPr>
        <w:t>部门预算政府基金预算财政拨款支出表</w:t>
      </w:r>
      <w:bookmarkEnd w:id="1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436廊坊市广阳区第六幼儿园</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14" w:name="tz_0001_0008"/>
      <w:bookmarkEnd w:id="14"/>
      <w:bookmarkStart w:id="15" w:name="_Toc_2_2_0000000008"/>
      <w:r>
        <w:rPr>
          <w:rFonts w:ascii="方正小标宋_GBK" w:hAnsi="方正小标宋_GBK" w:eastAsia="方正小标宋_GBK" w:cs="方正小标宋_GBK"/>
          <w:color w:val="000000"/>
          <w:sz w:val="36"/>
        </w:rPr>
        <w:t>部门预算国有资本经营预算财政拨款支出表</w:t>
      </w:r>
      <w:bookmarkEnd w:id="1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436廊坊市广阳区第六幼儿园</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16" w:name="tz_0001_0009"/>
      <w:bookmarkEnd w:id="16"/>
      <w:bookmarkStart w:id="17" w:name="_Toc_2_2_0000000009"/>
      <w:r>
        <w:rPr>
          <w:rFonts w:ascii="方正小标宋_GBK" w:hAnsi="方正小标宋_GBK" w:eastAsia="方正小标宋_GBK" w:cs="方正小标宋_GBK"/>
          <w:color w:val="000000"/>
          <w:sz w:val="36"/>
        </w:rPr>
        <w:t>部门预算财政拨款“三公”经费支出表</w:t>
      </w:r>
      <w:bookmarkEnd w:id="1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436廊坊市广阳区第六幼儿园</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ind w:firstLine="420"/>
      </w:pPr>
      <w:r>
        <w:rPr>
          <w:rFonts w:ascii="方正书宋_GBK" w:hAnsi="方正书宋_GBK" w:eastAsia="方正书宋_GBK" w:cs="方正书宋_GBK"/>
          <w:color w:val="000000"/>
          <w:sz w:val="21"/>
        </w:rPr>
        <w:t>注：无财政拨款“三公”经费支出表预算，空表列示。</w:t>
      </w:r>
    </w:p>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廊坊市广阳区第六幼儿园2023年部门预算信息公开情况说明</w:t>
      </w:r>
    </w:p>
    <w:p>
      <w:pPr>
        <w:jc w:val="center"/>
      </w:pPr>
      <w:r>
        <w:rPr>
          <w:rFonts w:ascii="方正小标宋_GBK" w:hAnsi="方正小标宋_GBK" w:eastAsia="方正小标宋_GBK" w:cs="方正小标宋_GBK"/>
          <w:color w:val="000000"/>
          <w:sz w:val="44"/>
        </w:rPr>
        <w:t>廊坊市广阳区第六幼儿园2023年部门预算信息公开情况说明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预算法》、《地方预决算公开操作规程》和《关于进一步推进预算公开工作的实施意见》规定，现将廊坊市广阳区第六幼儿园2023年部门预算公开如下：</w:t>
      </w:r>
    </w:p>
    <w:p>
      <w:pPr>
        <w:spacing w:before="10" w:after="10" w:line="360" w:lineRule="auto"/>
        <w:ind w:firstLine="640"/>
        <w:outlineLvl w:val="2"/>
      </w:pPr>
      <w:bookmarkStart w:id="18" w:name="tz_0002_0001"/>
      <w:bookmarkEnd w:id="18"/>
      <w:bookmarkStart w:id="19" w:name="_Toc_3_3_0000000010"/>
      <w:r>
        <w:rPr>
          <w:rFonts w:ascii="黑体" w:hAnsi="黑体" w:eastAsia="黑体" w:cs="黑体"/>
          <w:color w:val="000000"/>
          <w:sz w:val="32"/>
        </w:rPr>
        <w:t>一、部门职责及机构设置情况</w:t>
      </w:r>
      <w:bookmarkEnd w:id="19"/>
      <w:bookmarkStart w:id="36" w:name="_GoBack"/>
      <w:bookmarkEnd w:id="36"/>
    </w:p>
    <w:p>
      <w:pPr>
        <w:ind w:firstLine="640"/>
      </w:pPr>
      <w:r>
        <w:rPr>
          <w:rFonts w:ascii="方正楷体_GBK" w:hAnsi="方正楷体_GBK" w:eastAsia="方正楷体_GBK" w:cs="方正楷体_GBK"/>
          <w:b/>
          <w:color w:val="000000"/>
          <w:sz w:val="32"/>
        </w:rPr>
        <w:t>部门职责：</w:t>
      </w:r>
    </w:p>
    <w:p>
      <w:pPr>
        <w:pStyle w:val="22"/>
      </w:pPr>
      <w:r>
        <w:t>（一）贯彻执行党和国家的教育方针、政策、法律法规，制</w:t>
      </w:r>
      <w:r>
        <w:rPr>
          <w:rFonts w:hint="eastAsia"/>
          <w:lang w:eastAsia="zh-CN"/>
        </w:rPr>
        <w:t>订</w:t>
      </w:r>
      <w:r>
        <w:t>我校的长远规划和年度计划，并组织实施。</w:t>
      </w:r>
    </w:p>
    <w:p>
      <w:pPr>
        <w:pStyle w:val="22"/>
      </w:pPr>
      <w:r>
        <w:t>（二）负责教育基本信息的统计、分析。</w:t>
      </w:r>
    </w:p>
    <w:p>
      <w:pPr>
        <w:pStyle w:val="22"/>
      </w:pPr>
      <w:r>
        <w:t>（三）负责基础教育的管理。推进义务教育均衡发展和促进教育公平，全面实施素质教育。</w:t>
      </w:r>
    </w:p>
    <w:p>
      <w:pPr>
        <w:pStyle w:val="22"/>
      </w:pPr>
      <w:r>
        <w:t>（四）负责学校教师队伍的建设和管理，提高教师队伍素质。</w:t>
      </w:r>
    </w:p>
    <w:p>
      <w:pPr>
        <w:pStyle w:val="22"/>
      </w:pPr>
      <w:r>
        <w:t>（五）负责本部门教育经费的统筹管理，教育经费预决算工作，教育经费的管理和使用；统筹规划和管理学校基本建设和设施的配置及计划统计工作。</w:t>
      </w:r>
    </w:p>
    <w:p>
      <w:pPr>
        <w:pStyle w:val="22"/>
      </w:pPr>
      <w:r>
        <w:t>（六）管理学校的党建、思想政治、宣传统战和维护稳定以及德育、体育、卫生防疫与艺术教育、国防教育工作；负责学校的安全监督管理。</w:t>
      </w:r>
    </w:p>
    <w:p>
      <w:pPr>
        <w:pStyle w:val="22"/>
      </w:pPr>
      <w:r>
        <w:t>（七）负责做好学校的招生、考试工作；负责管理本校教师学历教育及考试工作。</w:t>
      </w:r>
    </w:p>
    <w:p>
      <w:pPr>
        <w:pStyle w:val="22"/>
      </w:pPr>
      <w:r>
        <w:t>（八）负责组织开展学校教育的督导评估、检查验收、质量监测等工作。</w:t>
      </w:r>
    </w:p>
    <w:p>
      <w:pPr>
        <w:pStyle w:val="22"/>
      </w:pPr>
      <w:r>
        <w:t>（九）负责学校党的政治建设、思想建设、组织建设、作风建设、纪律建设和制度建设。</w:t>
      </w:r>
    </w:p>
    <w:p>
      <w:pPr>
        <w:pStyle w:val="22"/>
      </w:pPr>
      <w:r>
        <w:t>（十）负责学校学生和教师的思想政治工作，学校思想政治队伍建设和学校校本课程教育教学。</w:t>
      </w:r>
    </w:p>
    <w:p>
      <w:pPr>
        <w:pStyle w:val="22"/>
      </w:pPr>
      <w:r>
        <w:t>（十一）负责学校安全稳定工作。</w:t>
      </w:r>
    </w:p>
    <w:p>
      <w:pPr>
        <w:pStyle w:val="22"/>
      </w:pPr>
      <w:r>
        <w:t>（十二）做好本校体育事业发展规划、全民健身计划，开展群众性体育活动。</w:t>
      </w:r>
    </w:p>
    <w:p>
      <w:pPr>
        <w:pStyle w:val="22"/>
      </w:pPr>
      <w:r>
        <w:t>（十三）做好上级部门交办的其他事项。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廊坊市广阳区第六幼儿园</w:t>
            </w:r>
          </w:p>
        </w:tc>
        <w:tc>
          <w:tcPr>
            <w:tcW w:w="1843" w:type="dxa"/>
            <w:vAlign w:val="center"/>
          </w:tcPr>
          <w:p>
            <w:pPr>
              <w:pStyle w:val="18"/>
            </w:pPr>
            <w:r>
              <w:t>事业</w:t>
            </w:r>
          </w:p>
        </w:tc>
        <w:tc>
          <w:tcPr>
            <w:tcW w:w="2126" w:type="dxa"/>
            <w:vAlign w:val="center"/>
          </w:tcPr>
          <w:p>
            <w:pPr>
              <w:pStyle w:val="18"/>
            </w:pPr>
            <w:r>
              <w:t>股级</w:t>
            </w:r>
          </w:p>
        </w:tc>
        <w:tc>
          <w:tcPr>
            <w:tcW w:w="3827" w:type="dxa"/>
            <w:vAlign w:val="center"/>
          </w:tcPr>
          <w:p>
            <w:pPr>
              <w:pStyle w:val="18"/>
            </w:pPr>
            <w:r>
              <w:t>财政性资金基本保证</w:t>
            </w:r>
          </w:p>
        </w:tc>
      </w:tr>
    </w:tbl>
    <w:p>
      <w:pPr>
        <w:spacing w:before="10" w:after="10" w:line="360" w:lineRule="auto"/>
        <w:ind w:firstLine="640"/>
        <w:outlineLvl w:val="2"/>
      </w:pPr>
      <w:bookmarkStart w:id="20" w:name="tz_0002_0002"/>
      <w:bookmarkEnd w:id="20"/>
      <w:bookmarkStart w:id="21" w:name="_Toc_3_3_0000000011"/>
      <w:r>
        <w:rPr>
          <w:rFonts w:ascii="黑体" w:hAnsi="黑体" w:eastAsia="黑体" w:cs="黑体"/>
          <w:color w:val="000000"/>
          <w:sz w:val="32"/>
        </w:rPr>
        <w:t>二、部门预算安排的总体情况</w:t>
      </w:r>
      <w:bookmarkEnd w:id="21"/>
    </w:p>
    <w:p>
      <w:pPr>
        <w:spacing w:line="500" w:lineRule="exact"/>
        <w:ind w:firstLine="560"/>
      </w:pPr>
      <w:r>
        <w:rPr>
          <w:rFonts w:eastAsia="方正仿宋_GBK"/>
          <w:color w:val="000000"/>
          <w:sz w:val="28"/>
        </w:rPr>
        <w:t>按照预算管理有关规定，目前我区部门预算的编制实行综合预算管理，即全部收入和支出都反映在预算中。廊坊市广阳区第六幼儿园机关及所属事业单位的收支包含在部门预算中。</w:t>
      </w:r>
    </w:p>
    <w:p>
      <w:pPr>
        <w:pStyle w:val="23"/>
      </w:pPr>
      <w:r>
        <w:t>1、收入说明</w:t>
      </w:r>
    </w:p>
    <w:p>
      <w:pPr>
        <w:pStyle w:val="23"/>
      </w:pPr>
      <w:r>
        <w:t>反映本部门当年全部收入。2023年预算收入822.53万元，其中：一般公共预算收入822.53万元，基金预算收入0万元，财政专户核拨收入0万元，其他来源收入0万元，上年结转0万元。</w:t>
      </w:r>
    </w:p>
    <w:p>
      <w:pPr>
        <w:pStyle w:val="23"/>
      </w:pPr>
      <w:r>
        <w:t>2、支出说明</w:t>
      </w:r>
    </w:p>
    <w:p>
      <w:pPr>
        <w:pStyle w:val="23"/>
      </w:pPr>
      <w:r>
        <w:t>收支预算总表支出栏、基本支出表、项目支出表按经济分类和支出功能分类科目编制，反映廊坊市广阳区第六幼儿园2023年度部门预算中支出预算的总体情况。2023年支出预算822.53万元，其中：基本支出822.53万元，包括人员经费822.53万元；项目支出0万元，全部为本级支出,主要为人员经费项目。</w:t>
      </w:r>
    </w:p>
    <w:p>
      <w:pPr>
        <w:pStyle w:val="23"/>
      </w:pPr>
      <w:r>
        <w:t>3、比上年增减情况</w:t>
      </w:r>
    </w:p>
    <w:p>
      <w:pPr>
        <w:pStyle w:val="23"/>
      </w:pPr>
      <w:r>
        <w:t>2023年预算收支安排822.53万元，较2022年预算增加131.08万元，其中：基本支出增加822.53万元，增加原因主要为人员经费支出增加。项目支出减少131.08万元，减少原因主要为2023年无合同制人员经费项目，合同制人员经费并入基本支出人员经费。</w:t>
      </w:r>
    </w:p>
    <w:p>
      <w:pPr>
        <w:spacing w:before="10" w:after="10" w:line="360" w:lineRule="auto"/>
        <w:ind w:firstLine="640"/>
        <w:outlineLvl w:val="2"/>
      </w:pPr>
      <w:bookmarkStart w:id="22" w:name="tz_0002_0003"/>
      <w:bookmarkEnd w:id="22"/>
      <w:bookmarkStart w:id="23" w:name="_Toc_3_3_0000000012"/>
      <w:r>
        <w:rPr>
          <w:rFonts w:ascii="黑体" w:hAnsi="黑体" w:eastAsia="黑体" w:cs="黑体"/>
          <w:color w:val="000000"/>
          <w:sz w:val="32"/>
        </w:rPr>
        <w:t>三、机关运行经费安排情况</w:t>
      </w:r>
      <w:bookmarkEnd w:id="23"/>
    </w:p>
    <w:p>
      <w:pPr>
        <w:pStyle w:val="24"/>
      </w:pPr>
      <w:r>
        <w:t>2023年，我部门运行经费共计安排0万元。</w:t>
      </w:r>
    </w:p>
    <w:p>
      <w:pPr>
        <w:spacing w:before="10" w:after="10" w:line="360" w:lineRule="auto"/>
        <w:ind w:firstLine="640"/>
        <w:outlineLvl w:val="2"/>
      </w:pPr>
      <w:bookmarkStart w:id="24" w:name="tz_0002_0004"/>
      <w:bookmarkEnd w:id="24"/>
      <w:bookmarkStart w:id="25" w:name="_Toc_3_3_0000000013"/>
      <w:r>
        <w:rPr>
          <w:rFonts w:ascii="黑体" w:hAnsi="黑体" w:eastAsia="黑体" w:cs="黑体"/>
          <w:color w:val="000000"/>
          <w:sz w:val="32"/>
        </w:rPr>
        <w:t>四、财政拨款“三公”经费预算情况及增减变化原因</w:t>
      </w:r>
      <w:bookmarkEnd w:id="25"/>
    </w:p>
    <w:p>
      <w:pPr>
        <w:pStyle w:val="25"/>
      </w:pPr>
      <w:r>
        <w:t>2023年，我部门财政拨款“三公”经费预算安排0万元。其中，因公出国（境）费0万元；公务用车购置及运维费0万元（其中：公务用车购置费为0万元，公务用车运维费0万元)；公务接待费0万元。与2022年相比持平，无增减变化。</w:t>
      </w:r>
    </w:p>
    <w:p>
      <w:pPr>
        <w:spacing w:before="10" w:after="10" w:line="360" w:lineRule="auto"/>
        <w:ind w:firstLine="640"/>
        <w:outlineLvl w:val="2"/>
      </w:pPr>
      <w:bookmarkStart w:id="26" w:name="tz_0002_0005"/>
      <w:bookmarkEnd w:id="26"/>
      <w:bookmarkStart w:id="27" w:name="_Toc_3_3_0000000014"/>
      <w:r>
        <w:rPr>
          <w:rFonts w:ascii="黑体" w:hAnsi="黑体" w:eastAsia="黑体" w:cs="黑体"/>
          <w:color w:val="000000"/>
          <w:sz w:val="32"/>
        </w:rPr>
        <w:t>五、预算绩效信息</w:t>
      </w:r>
      <w:bookmarkEnd w:id="27"/>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6"/>
      </w:pPr>
      <w:r>
        <w:t>提高学前教育公用经费保障水平，继续完善教育基础设施，推进园舍建设，加快提升装备水平，改善办学条件。打造一流教师队伍，补充师资力量，提高专业素质，完善考核机制；优化教育教学管理；提高素质教育水平，开展丰富多彩的教学活动。促进社会文化素质提高。全面加强党的建设，进一步落实从严管党治党要求，以习近平新时代中国特色社会主义思想统领教育系统党建工作，强化主体责任，在提升党建工作质量上下真功、用实劲、求实效。提高学前教育公用经费保障水平，改善办学条件，均衡配置基础教育资源，推进标准化学校建设，实施数字化校园建设，加强学校文化建设，落实学生资助政策。促进学前教育均衡发展，提高素质教育水平，开展丰富多彩的教学活动。促进社会文化素质提高。</w:t>
      </w:r>
    </w:p>
    <w:p>
      <w:pPr>
        <w:spacing w:line="500" w:lineRule="exact"/>
        <w:ind w:firstLine="560"/>
      </w:pPr>
      <w:r>
        <w:rPr>
          <w:rFonts w:eastAsia="方正仿宋_GBK"/>
          <w:color w:val="000000"/>
          <w:sz w:val="28"/>
        </w:rPr>
        <w:t>（二）分项绩效目标</w:t>
      </w:r>
    </w:p>
    <w:p>
      <w:pPr>
        <w:pStyle w:val="27"/>
      </w:pPr>
      <w:r>
        <w:t>1.教育教学绩效</w:t>
      </w:r>
    </w:p>
    <w:p>
      <w:pPr>
        <w:pStyle w:val="27"/>
      </w:pPr>
      <w:r>
        <w:t>绩效目标：按质按量完成教育教学方面的各项任务，稳步提升学校的教育教学质量。</w:t>
      </w:r>
    </w:p>
    <w:p>
      <w:pPr>
        <w:pStyle w:val="27"/>
      </w:pPr>
      <w:r>
        <w:t>绩效指标：学生综合素质评价优秀率达到85%,合格率达到100%。</w:t>
      </w:r>
    </w:p>
    <w:p>
      <w:pPr>
        <w:pStyle w:val="27"/>
      </w:pPr>
      <w:r>
        <w:t>2培养高素质的教师队伍 </w:t>
      </w:r>
    </w:p>
    <w:p>
      <w:pPr>
        <w:pStyle w:val="27"/>
      </w:pPr>
      <w:r>
        <w:t>绩效目标：开展制度化的教硏组活动,培训学习活动,青年教师比赛课,网络继续教育培训等各类活动.</w:t>
      </w:r>
    </w:p>
    <w:p>
      <w:pPr>
        <w:pStyle w:val="27"/>
      </w:pPr>
      <w:r>
        <w:t>绩效指标：确保年度教师队伍培训率达到95%以上,有效促进教师教育教学水平的提升。</w:t>
      </w:r>
    </w:p>
    <w:p>
      <w:pPr>
        <w:pStyle w:val="27"/>
      </w:pPr>
      <w:r>
        <w:t>3学校办学条件的发展建设 </w:t>
      </w:r>
    </w:p>
    <w:p>
      <w:pPr>
        <w:pStyle w:val="27"/>
      </w:pPr>
      <w:r>
        <w:t>绩效目标：不断改善办学条件。提升学校基础设施设备的整体水平。加强学校基础设施设备的维护,确保校园安全,落实校园防火及其他安全隐患的预防工作。</w:t>
      </w:r>
    </w:p>
    <w:p>
      <w:pPr>
        <w:pStyle w:val="27"/>
      </w:pPr>
      <w:r>
        <w:t>绩效指标：确保校园各设施设备的正常运行。</w:t>
      </w:r>
    </w:p>
    <w:p>
      <w:pPr>
        <w:pStyle w:val="27"/>
      </w:pPr>
      <w:r>
        <w:t>4推动学校思想文化建设工作</w:t>
      </w:r>
    </w:p>
    <w:p>
      <w:pPr>
        <w:pStyle w:val="27"/>
      </w:pPr>
      <w:r>
        <w:t>绩效目标：完善拓展德育队伍建设，树立全员育人观念，并取得一定成绩，形成学校、家庭、社会三位一体的教育格局。强化德育评比体制。</w:t>
      </w:r>
    </w:p>
    <w:p>
      <w:pPr>
        <w:pStyle w:val="27"/>
      </w:pPr>
      <w:r>
        <w:t>绩效指标：完善心理咨询室的建设，寓心理健康教育于教育教学工作中，开展好理论学习和个案分析。</w:t>
      </w:r>
    </w:p>
    <w:p>
      <w:pPr>
        <w:pStyle w:val="27"/>
      </w:pPr>
      <w:r>
        <w:t>5促进学校社会影响力 </w:t>
      </w:r>
    </w:p>
    <w:p>
      <w:pPr>
        <w:pStyle w:val="27"/>
      </w:pPr>
      <w:r>
        <w:t>绩效目标：办人民满意的学校。</w:t>
      </w:r>
    </w:p>
    <w:p>
      <w:pPr>
        <w:pStyle w:val="27"/>
      </w:pPr>
      <w:r>
        <w:t>绩效指标：教师、学生、家长整体满意度达到95%以上。</w:t>
      </w:r>
    </w:p>
    <w:p>
      <w:pPr>
        <w:spacing w:line="500" w:lineRule="exact"/>
        <w:ind w:firstLine="560"/>
      </w:pPr>
      <w:r>
        <w:rPr>
          <w:rFonts w:eastAsia="方正仿宋_GBK"/>
          <w:color w:val="000000"/>
          <w:sz w:val="28"/>
        </w:rPr>
        <w:t>（三）工作保障措施</w:t>
      </w:r>
    </w:p>
    <w:p>
      <w:pPr>
        <w:pStyle w:val="28"/>
      </w:pPr>
      <w:r>
        <w:t>1、成立幼儿园监督小组，监督幼儿园工作，强化工作落实。</w:t>
      </w:r>
    </w:p>
    <w:p>
      <w:pPr>
        <w:pStyle w:val="28"/>
      </w:pPr>
      <w:r>
        <w:t>2、做好工会工作。贯彻落实中央和省、市、区委关于重大节日开展对离退休干部进行走访慰问的指示精神，做好困难党员、群众、老教师、优抚对象、劳动模范的关心帮扶工作，充分体现党和政府对教育工作者的关怀。</w:t>
      </w:r>
    </w:p>
    <w:p>
      <w:pPr>
        <w:pStyle w:val="28"/>
      </w:pPr>
      <w:r>
        <w:t>3、树立为教育教学提供优质服务的意识。基本实现规范化、标准化，为教育教学提供全方位的后勤保障。完善各项管理制度，强化人员思想教育和技能培训，实现服务的精细化。做好三重一大工作，大额资金项目进行公开招投标，定期进行项目巡查、召开工作会，完善监督职责。</w:t>
      </w:r>
    </w:p>
    <w:p>
      <w:pPr>
        <w:pStyle w:val="28"/>
      </w:pPr>
      <w:r>
        <w:t>4、幼儿园体育、卫生工作。根据《幼儿园健康体检管理办法》要求，对在园学生每年进行1次常规健康体检。</w:t>
      </w:r>
    </w:p>
    <w:p>
      <w:pPr>
        <w:pStyle w:val="28"/>
      </w:pPr>
      <w:r>
        <w:t>5、完善拓展德育队伍建设，树立全员育人观念，并取得一定成绩，形成学校、家庭、社会三位一体的教育格局。完善强化德育评比体制。如班主任绩效考核，做好各级各类优秀集体和个人的评选工作。完善心理咨询室的建设，寓心理健康教育于教育教学工作中，开展好理论学习和个案分析。</w:t>
      </w:r>
    </w:p>
    <w:p>
      <w:pPr>
        <w:pStyle w:val="28"/>
      </w:pPr>
      <w:r>
        <w:t>6、加强政治理论学习，强化党风廉政建设。做好师德传承活动，落实老中青传帮带。弘扬办学精神。加强师德宣传与学习活动。开展形式多样、扎实有效的师德教育活动。</w:t>
      </w:r>
    </w:p>
    <w:p>
      <w:pPr>
        <w:pStyle w:val="28"/>
      </w:pPr>
      <w:r>
        <w:t>逐步制订、完善相关制度，规范教师师德。加强校本培训和继续教育工作，提升教师能力。落实教师评价工作，完善考核机制。搭建教师发展平台。</w:t>
      </w: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（四）部门整体支出绩效指标</w:t>
      </w:r>
    </w:p>
    <w:tbl>
      <w:tblPr>
        <w:tblStyle w:val="8"/>
        <w:tblW w:w="0" w:type="auto"/>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008"/>
        <w:gridCol w:w="850"/>
        <w:gridCol w:w="1418"/>
        <w:gridCol w:w="4184"/>
        <w:gridCol w:w="4037"/>
        <w:gridCol w:w="992"/>
        <w:gridCol w:w="709"/>
        <w:gridCol w:w="709"/>
        <w:gridCol w:w="923"/>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tblHeader/>
          <w:jc w:val="center"/>
        </w:trPr>
        <w:tc>
          <w:tcPr>
            <w:tcW w:w="1008"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lang w:eastAsia="zh-CN"/>
              </w:rPr>
            </w:pPr>
            <w:r>
              <w:rPr>
                <w:rFonts w:hint="eastAsia" w:ascii="方正书宋_GBK" w:eastAsia="方正书宋_GBK"/>
                <w:b/>
                <w:bCs/>
                <w:color w:val="000000"/>
              </w:rPr>
              <w:t>一级指标</w:t>
            </w:r>
          </w:p>
        </w:tc>
        <w:tc>
          <w:tcPr>
            <w:tcW w:w="850"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二级</w:t>
            </w:r>
          </w:p>
          <w:p>
            <w:pPr>
              <w:jc w:val="center"/>
              <w:rPr>
                <w:rFonts w:ascii="方正书宋_GBK" w:eastAsia="方正书宋_GBK"/>
                <w:b/>
                <w:bCs/>
                <w:color w:val="000000"/>
              </w:rPr>
            </w:pPr>
            <w:r>
              <w:rPr>
                <w:rFonts w:hint="eastAsia" w:ascii="方正书宋_GBK" w:eastAsia="方正书宋_GBK"/>
                <w:b/>
                <w:bCs/>
                <w:color w:val="000000"/>
              </w:rPr>
              <w:t>指标</w:t>
            </w:r>
          </w:p>
        </w:tc>
        <w:tc>
          <w:tcPr>
            <w:tcW w:w="1418"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三级指标</w:t>
            </w:r>
          </w:p>
        </w:tc>
        <w:tc>
          <w:tcPr>
            <w:tcW w:w="4184"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评（扣）分标准</w:t>
            </w:r>
          </w:p>
        </w:tc>
        <w:tc>
          <w:tcPr>
            <w:tcW w:w="4037"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绩效指标描述</w:t>
            </w:r>
          </w:p>
        </w:tc>
        <w:tc>
          <w:tcPr>
            <w:tcW w:w="2410" w:type="dxa"/>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tc>
        <w:tc>
          <w:tcPr>
            <w:tcW w:w="923"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tblHeader/>
          <w:jc w:val="center"/>
        </w:trPr>
        <w:tc>
          <w:tcPr>
            <w:tcW w:w="1008" w:type="dxa"/>
            <w:vMerge w:val="continue"/>
            <w:shd w:val="clear" w:color="auto" w:fill="auto"/>
            <w:vAlign w:val="center"/>
          </w:tcPr>
          <w:p>
            <w:pPr>
              <w:rPr>
                <w:rFonts w:ascii="方正书宋_GBK" w:hAnsi="宋体" w:eastAsia="方正书宋_GBK" w:cs="宋体"/>
                <w:b/>
                <w:bCs/>
                <w:color w:val="000000"/>
              </w:rPr>
            </w:pPr>
          </w:p>
        </w:tc>
        <w:tc>
          <w:tcPr>
            <w:tcW w:w="850"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c>
          <w:tcPr>
            <w:tcW w:w="1418" w:type="dxa"/>
            <w:vMerge w:val="continue"/>
            <w:shd w:val="clear" w:color="auto" w:fill="auto"/>
            <w:tcMar>
              <w:top w:w="15" w:type="dxa"/>
              <w:left w:w="15" w:type="dxa"/>
              <w:bottom w:w="0" w:type="dxa"/>
              <w:right w:w="15" w:type="dxa"/>
            </w:tcMar>
            <w:vAlign w:val="center"/>
          </w:tcPr>
          <w:p>
            <w:pPr>
              <w:rPr>
                <w:rFonts w:ascii="方正书宋_GBK" w:hAnsi="宋体" w:eastAsia="方正书宋_GBK" w:cs="宋体"/>
                <w:b/>
                <w:bCs/>
                <w:color w:val="000000"/>
              </w:rPr>
            </w:pPr>
          </w:p>
        </w:tc>
        <w:tc>
          <w:tcPr>
            <w:tcW w:w="4184" w:type="dxa"/>
            <w:vMerge w:val="continue"/>
            <w:shd w:val="clear" w:color="auto" w:fill="auto"/>
            <w:tcMar>
              <w:top w:w="15" w:type="dxa"/>
              <w:left w:w="15" w:type="dxa"/>
              <w:bottom w:w="0" w:type="dxa"/>
              <w:right w:w="15" w:type="dxa"/>
            </w:tcMar>
            <w:vAlign w:val="center"/>
          </w:tcPr>
          <w:p>
            <w:pPr>
              <w:rPr>
                <w:rFonts w:ascii="方正书宋_GBK" w:hAnsi="宋体" w:eastAsia="方正书宋_GBK" w:cs="宋体"/>
                <w:b/>
                <w:bCs/>
                <w:color w:val="000000"/>
              </w:rPr>
            </w:pPr>
          </w:p>
        </w:tc>
        <w:tc>
          <w:tcPr>
            <w:tcW w:w="4037" w:type="dxa"/>
            <w:vMerge w:val="continue"/>
            <w:shd w:val="clear" w:color="auto" w:fill="auto"/>
            <w:tcMar>
              <w:top w:w="15" w:type="dxa"/>
              <w:left w:w="15" w:type="dxa"/>
              <w:bottom w:w="0" w:type="dxa"/>
              <w:right w:w="15" w:type="dxa"/>
            </w:tcMar>
            <w:vAlign w:val="center"/>
          </w:tcPr>
          <w:p>
            <w:pPr>
              <w:rPr>
                <w:rFonts w:ascii="方正书宋_GBK" w:hAnsi="宋体" w:eastAsia="方正书宋_GBK" w:cs="宋体"/>
                <w:b/>
                <w:bCs/>
                <w:color w:val="000000"/>
              </w:rPr>
            </w:pPr>
          </w:p>
        </w:tc>
        <w:tc>
          <w:tcPr>
            <w:tcW w:w="992"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符号</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值</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单位</w:t>
            </w:r>
          </w:p>
        </w:tc>
        <w:tc>
          <w:tcPr>
            <w:tcW w:w="923"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部门产出</w:t>
            </w:r>
          </w:p>
        </w:tc>
        <w:tc>
          <w:tcPr>
            <w:tcW w:w="850"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1418"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保障人数</w:t>
            </w:r>
          </w:p>
        </w:tc>
        <w:tc>
          <w:tcPr>
            <w:tcW w:w="4184" w:type="dxa"/>
            <w:shd w:val="clear" w:color="auto" w:fill="auto"/>
            <w:tcMar>
              <w:top w:w="15" w:type="dxa"/>
              <w:left w:w="15" w:type="dxa"/>
              <w:bottom w:w="0" w:type="dxa"/>
              <w:right w:w="15" w:type="dxa"/>
            </w:tcMar>
            <w:vAlign w:val="center"/>
          </w:tcPr>
          <w:p>
            <w:pPr>
              <w:rPr>
                <w:color w:val="000000"/>
                <w:sz w:val="22"/>
                <w:szCs w:val="22"/>
              </w:rPr>
            </w:pPr>
            <w:r>
              <w:rPr>
                <w:rStyle w:val="34"/>
                <w:rFonts w:hint="eastAsia" w:ascii="宋体" w:hAnsi="宋体" w:eastAsia="宋体" w:cs="宋体"/>
              </w:rPr>
              <w:t>每未完成</w:t>
            </w:r>
            <w:r>
              <w:rPr>
                <w:rStyle w:val="34"/>
              </w:rPr>
              <w:t>1</w:t>
            </w:r>
            <w:r>
              <w:rPr>
                <w:rStyle w:val="34"/>
                <w:rFonts w:hint="eastAsia" w:ascii="宋体" w:hAnsi="宋体" w:eastAsia="宋体" w:cs="宋体"/>
              </w:rPr>
              <w:t>人，扣减分值</w:t>
            </w:r>
            <w:r>
              <w:rPr>
                <w:rStyle w:val="34"/>
              </w:rPr>
              <w:t>1%</w:t>
            </w:r>
          </w:p>
        </w:tc>
        <w:tc>
          <w:tcPr>
            <w:tcW w:w="4037"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保障人数</w:t>
            </w:r>
          </w:p>
        </w:tc>
        <w:tc>
          <w:tcPr>
            <w:tcW w:w="992" w:type="dxa"/>
            <w:shd w:val="clear" w:color="auto" w:fill="auto"/>
            <w:tcMar>
              <w:top w:w="15" w:type="dxa"/>
              <w:left w:w="15" w:type="dxa"/>
              <w:bottom w:w="0" w:type="dxa"/>
              <w:right w:w="15" w:type="dxa"/>
            </w:tcMar>
            <w:vAlign w:val="center"/>
          </w:tcPr>
          <w:p>
            <w:pPr>
              <w:jc w:val="center"/>
              <w:rPr>
                <w:color w:val="000000"/>
              </w:rPr>
            </w:pPr>
            <w:r>
              <w:rPr>
                <w:color w:val="000000"/>
              </w:rPr>
              <w:t>≤</w:t>
            </w:r>
          </w:p>
        </w:tc>
        <w:tc>
          <w:tcPr>
            <w:tcW w:w="709"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3041</w:t>
            </w:r>
          </w:p>
        </w:tc>
        <w:tc>
          <w:tcPr>
            <w:tcW w:w="709" w:type="dxa"/>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人</w:t>
            </w:r>
          </w:p>
        </w:tc>
        <w:tc>
          <w:tcPr>
            <w:tcW w:w="923"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财政供养人数</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shd w:val="clear" w:color="auto" w:fill="auto"/>
            <w:vAlign w:val="center"/>
          </w:tcPr>
          <w:p>
            <w:pPr>
              <w:rPr>
                <w:rFonts w:ascii="方正书宋_GBK" w:hAnsi="宋体" w:eastAsia="方正书宋_GBK" w:cs="宋体"/>
                <w:color w:val="000000"/>
              </w:rPr>
            </w:pPr>
          </w:p>
        </w:tc>
        <w:tc>
          <w:tcPr>
            <w:tcW w:w="850"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数量</w:t>
            </w:r>
          </w:p>
        </w:tc>
        <w:tc>
          <w:tcPr>
            <w:tcW w:w="1418"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保障办公人数</w:t>
            </w:r>
          </w:p>
        </w:tc>
        <w:tc>
          <w:tcPr>
            <w:tcW w:w="4184" w:type="dxa"/>
            <w:shd w:val="clear" w:color="auto" w:fill="auto"/>
            <w:tcMar>
              <w:top w:w="15" w:type="dxa"/>
              <w:left w:w="15" w:type="dxa"/>
              <w:bottom w:w="0" w:type="dxa"/>
              <w:right w:w="15" w:type="dxa"/>
            </w:tcMar>
            <w:vAlign w:val="center"/>
          </w:tcPr>
          <w:p>
            <w:pPr>
              <w:rPr>
                <w:color w:val="000000"/>
                <w:sz w:val="22"/>
                <w:szCs w:val="22"/>
              </w:rPr>
            </w:pPr>
            <w:r>
              <w:rPr>
                <w:rStyle w:val="34"/>
                <w:rFonts w:hint="eastAsia" w:ascii="宋体" w:hAnsi="宋体" w:eastAsia="宋体" w:cs="宋体"/>
              </w:rPr>
              <w:t>每增多</w:t>
            </w:r>
            <w:r>
              <w:rPr>
                <w:rStyle w:val="34"/>
              </w:rPr>
              <w:t>5%</w:t>
            </w:r>
            <w:r>
              <w:rPr>
                <w:rStyle w:val="34"/>
                <w:rFonts w:hint="eastAsia" w:ascii="宋体" w:hAnsi="宋体" w:eastAsia="宋体" w:cs="宋体"/>
              </w:rPr>
              <w:t>，扣标准分值的</w:t>
            </w:r>
            <w:r>
              <w:rPr>
                <w:rStyle w:val="34"/>
              </w:rPr>
              <w:t>5%</w:t>
            </w:r>
            <w:r>
              <w:rPr>
                <w:rStyle w:val="34"/>
                <w:rFonts w:hint="eastAsia" w:ascii="宋体" w:hAnsi="宋体" w:eastAsia="宋体" w:cs="宋体"/>
              </w:rPr>
              <w:t>。</w:t>
            </w:r>
          </w:p>
        </w:tc>
        <w:tc>
          <w:tcPr>
            <w:tcW w:w="4037"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保障办公人数</w:t>
            </w:r>
          </w:p>
        </w:tc>
        <w:tc>
          <w:tcPr>
            <w:tcW w:w="992"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709"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162</w:t>
            </w:r>
          </w:p>
        </w:tc>
        <w:tc>
          <w:tcPr>
            <w:tcW w:w="709"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人</w:t>
            </w:r>
          </w:p>
        </w:tc>
        <w:tc>
          <w:tcPr>
            <w:tcW w:w="923"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shd w:val="clear" w:color="auto" w:fill="auto"/>
            <w:vAlign w:val="center"/>
          </w:tcPr>
          <w:p>
            <w:pPr>
              <w:rPr>
                <w:rFonts w:ascii="方正书宋_GBK" w:hAnsi="宋体" w:eastAsia="方正书宋_GBK" w:cs="宋体"/>
                <w:color w:val="000000"/>
              </w:rPr>
            </w:pPr>
          </w:p>
        </w:tc>
        <w:tc>
          <w:tcPr>
            <w:tcW w:w="850"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数量</w:t>
            </w:r>
          </w:p>
        </w:tc>
        <w:tc>
          <w:tcPr>
            <w:tcW w:w="1418" w:type="dxa"/>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教育教学活动开展次数</w:t>
            </w:r>
          </w:p>
        </w:tc>
        <w:tc>
          <w:tcPr>
            <w:tcW w:w="4184" w:type="dxa"/>
            <w:shd w:val="clear" w:color="auto" w:fill="auto"/>
            <w:tcMar>
              <w:top w:w="15" w:type="dxa"/>
              <w:left w:w="15" w:type="dxa"/>
              <w:bottom w:w="0" w:type="dxa"/>
              <w:right w:w="15" w:type="dxa"/>
            </w:tcMar>
          </w:tcPr>
          <w:p>
            <w:pPr>
              <w:rPr>
                <w:color w:val="000000"/>
                <w:sz w:val="22"/>
                <w:szCs w:val="22"/>
              </w:rPr>
            </w:pPr>
            <w:r>
              <w:rPr>
                <w:rStyle w:val="34"/>
                <w:rFonts w:hint="eastAsia" w:ascii="宋体" w:hAnsi="宋体" w:eastAsia="宋体" w:cs="宋体"/>
              </w:rPr>
              <w:t>每减少</w:t>
            </w:r>
            <w:r>
              <w:rPr>
                <w:rStyle w:val="34"/>
              </w:rPr>
              <w:t>1</w:t>
            </w:r>
            <w:r>
              <w:rPr>
                <w:rStyle w:val="34"/>
                <w:rFonts w:hint="eastAsia" w:ascii="宋体" w:hAnsi="宋体" w:eastAsia="宋体" w:cs="宋体"/>
              </w:rPr>
              <w:t>次，减数量分值的</w:t>
            </w:r>
            <w:r>
              <w:rPr>
                <w:rStyle w:val="34"/>
              </w:rPr>
              <w:t>10%</w:t>
            </w:r>
            <w:r>
              <w:rPr>
                <w:rStyle w:val="34"/>
                <w:rFonts w:hint="eastAsia" w:ascii="宋体" w:hAnsi="宋体" w:eastAsia="宋体" w:cs="宋体"/>
              </w:rPr>
              <w:t>。</w:t>
            </w:r>
          </w:p>
        </w:tc>
        <w:tc>
          <w:tcPr>
            <w:tcW w:w="4037"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教育教学活动开展次数</w:t>
            </w:r>
          </w:p>
        </w:tc>
        <w:tc>
          <w:tcPr>
            <w:tcW w:w="992"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709"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12</w:t>
            </w:r>
          </w:p>
        </w:tc>
        <w:tc>
          <w:tcPr>
            <w:tcW w:w="709"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次</w:t>
            </w:r>
          </w:p>
        </w:tc>
        <w:tc>
          <w:tcPr>
            <w:tcW w:w="923"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shd w:val="clear" w:color="auto" w:fill="auto"/>
            <w:vAlign w:val="center"/>
          </w:tcPr>
          <w:p>
            <w:pPr>
              <w:rPr>
                <w:rFonts w:ascii="方正书宋_GBK" w:hAnsi="宋体" w:eastAsia="方正书宋_GBK" w:cs="宋体"/>
                <w:color w:val="000000"/>
              </w:rPr>
            </w:pPr>
          </w:p>
        </w:tc>
        <w:tc>
          <w:tcPr>
            <w:tcW w:w="850"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数量</w:t>
            </w:r>
          </w:p>
        </w:tc>
        <w:tc>
          <w:tcPr>
            <w:tcW w:w="1418"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特殊教育学生教学次数</w:t>
            </w:r>
          </w:p>
        </w:tc>
        <w:tc>
          <w:tcPr>
            <w:tcW w:w="4184" w:type="dxa"/>
            <w:shd w:val="clear" w:color="auto" w:fill="auto"/>
            <w:tcMar>
              <w:top w:w="15" w:type="dxa"/>
              <w:left w:w="15" w:type="dxa"/>
              <w:bottom w:w="0" w:type="dxa"/>
              <w:right w:w="15" w:type="dxa"/>
            </w:tcMar>
            <w:vAlign w:val="center"/>
          </w:tcPr>
          <w:p>
            <w:pPr>
              <w:rPr>
                <w:color w:val="000000"/>
                <w:sz w:val="22"/>
                <w:szCs w:val="22"/>
              </w:rPr>
            </w:pPr>
            <w:r>
              <w:rPr>
                <w:rStyle w:val="34"/>
                <w:rFonts w:hint="eastAsia" w:ascii="宋体" w:hAnsi="宋体" w:eastAsia="宋体" w:cs="宋体"/>
              </w:rPr>
              <w:t>每少完成</w:t>
            </w:r>
            <w:r>
              <w:rPr>
                <w:rStyle w:val="34"/>
              </w:rPr>
              <w:t>1</w:t>
            </w:r>
            <w:r>
              <w:rPr>
                <w:rStyle w:val="34"/>
                <w:rFonts w:hint="eastAsia" w:ascii="宋体" w:hAnsi="宋体" w:eastAsia="宋体" w:cs="宋体"/>
              </w:rPr>
              <w:t>次，减少分数的</w:t>
            </w:r>
            <w:r>
              <w:rPr>
                <w:rStyle w:val="34"/>
              </w:rPr>
              <w:t>5%</w:t>
            </w:r>
          </w:p>
        </w:tc>
        <w:tc>
          <w:tcPr>
            <w:tcW w:w="4037"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完成次数</w:t>
            </w:r>
          </w:p>
        </w:tc>
        <w:tc>
          <w:tcPr>
            <w:tcW w:w="992"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709"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20</w:t>
            </w:r>
          </w:p>
        </w:tc>
        <w:tc>
          <w:tcPr>
            <w:tcW w:w="709"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次</w:t>
            </w:r>
          </w:p>
        </w:tc>
        <w:tc>
          <w:tcPr>
            <w:tcW w:w="923"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shd w:val="clear" w:color="auto" w:fill="auto"/>
            <w:vAlign w:val="center"/>
          </w:tcPr>
          <w:p>
            <w:pPr>
              <w:rPr>
                <w:rFonts w:ascii="方正书宋_GBK" w:hAnsi="宋体" w:eastAsia="方正书宋_GBK" w:cs="宋体"/>
                <w:color w:val="000000"/>
              </w:rPr>
            </w:pPr>
          </w:p>
        </w:tc>
        <w:tc>
          <w:tcPr>
            <w:tcW w:w="850"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质量</w:t>
            </w:r>
          </w:p>
        </w:tc>
        <w:tc>
          <w:tcPr>
            <w:tcW w:w="1418" w:type="dxa"/>
            <w:shd w:val="clear" w:color="auto" w:fill="auto"/>
            <w:tcMar>
              <w:top w:w="15" w:type="dxa"/>
              <w:left w:w="15" w:type="dxa"/>
              <w:bottom w:w="0" w:type="dxa"/>
              <w:right w:w="15" w:type="dxa"/>
            </w:tcMar>
            <w:vAlign w:val="center"/>
          </w:tcPr>
          <w:p>
            <w:pPr>
              <w:jc w:val="both"/>
              <w:rPr>
                <w:rFonts w:eastAsia="宋体"/>
                <w:color w:val="000000"/>
                <w:sz w:val="22"/>
                <w:szCs w:val="22"/>
              </w:rPr>
            </w:pPr>
            <w:r>
              <w:rPr>
                <w:rStyle w:val="34"/>
                <w:rFonts w:hint="eastAsia" w:ascii="宋体" w:hAnsi="宋体" w:eastAsia="宋体" w:cs="宋体"/>
              </w:rPr>
              <w:t>工资</w:t>
            </w:r>
            <w:r>
              <w:rPr>
                <w:rStyle w:val="34"/>
              </w:rPr>
              <w:t>(</w:t>
            </w:r>
            <w:r>
              <w:rPr>
                <w:rStyle w:val="34"/>
                <w:rFonts w:hint="eastAsia" w:ascii="宋体" w:hAnsi="宋体" w:eastAsia="宋体" w:cs="宋体"/>
              </w:rPr>
              <w:t>福利</w:t>
            </w:r>
            <w:r>
              <w:rPr>
                <w:rStyle w:val="34"/>
              </w:rPr>
              <w:t>)</w:t>
            </w:r>
            <w:r>
              <w:rPr>
                <w:rStyle w:val="34"/>
                <w:rFonts w:hint="eastAsia" w:ascii="宋体" w:hAnsi="宋体" w:eastAsia="宋体" w:cs="宋体"/>
              </w:rPr>
              <w:t>等发放精准性</w:t>
            </w:r>
          </w:p>
        </w:tc>
        <w:tc>
          <w:tcPr>
            <w:tcW w:w="4184" w:type="dxa"/>
            <w:shd w:val="clear" w:color="auto" w:fill="auto"/>
            <w:tcMar>
              <w:top w:w="15" w:type="dxa"/>
              <w:left w:w="15" w:type="dxa"/>
              <w:bottom w:w="0" w:type="dxa"/>
              <w:right w:w="15" w:type="dxa"/>
            </w:tcMar>
            <w:vAlign w:val="center"/>
          </w:tcPr>
          <w:p>
            <w:pPr>
              <w:jc w:val="both"/>
              <w:rPr>
                <w:color w:val="000000"/>
                <w:sz w:val="22"/>
                <w:szCs w:val="22"/>
              </w:rPr>
            </w:pPr>
            <w:r>
              <w:rPr>
                <w:rStyle w:val="34"/>
                <w:rFonts w:hint="eastAsia" w:ascii="宋体" w:hAnsi="宋体" w:eastAsia="宋体" w:cs="宋体"/>
              </w:rPr>
              <w:t>每未准确发放</w:t>
            </w:r>
            <w:r>
              <w:rPr>
                <w:rStyle w:val="34"/>
              </w:rPr>
              <w:t>1</w:t>
            </w:r>
            <w:r>
              <w:rPr>
                <w:rStyle w:val="34"/>
                <w:rFonts w:hint="eastAsia" w:ascii="宋体" w:hAnsi="宋体" w:eastAsia="宋体" w:cs="宋体"/>
              </w:rPr>
              <w:t>笔，扣减分值</w:t>
            </w:r>
            <w:r>
              <w:rPr>
                <w:rStyle w:val="34"/>
              </w:rPr>
              <w:t>5%</w:t>
            </w:r>
          </w:p>
        </w:tc>
        <w:tc>
          <w:tcPr>
            <w:tcW w:w="4037" w:type="dxa"/>
            <w:shd w:val="clear" w:color="auto" w:fill="auto"/>
            <w:tcMar>
              <w:top w:w="15" w:type="dxa"/>
              <w:left w:w="15" w:type="dxa"/>
              <w:bottom w:w="0" w:type="dxa"/>
              <w:right w:w="15" w:type="dxa"/>
            </w:tcMar>
            <w:vAlign w:val="center"/>
          </w:tcPr>
          <w:p>
            <w:pPr>
              <w:jc w:val="both"/>
              <w:rPr>
                <w:color w:val="000000"/>
                <w:sz w:val="22"/>
                <w:szCs w:val="22"/>
              </w:rPr>
            </w:pPr>
            <w:r>
              <w:rPr>
                <w:rFonts w:hint="eastAsia" w:ascii="宋体" w:hAnsi="宋体" w:eastAsia="宋体" w:cs="宋体"/>
                <w:color w:val="000000"/>
                <w:sz w:val="22"/>
                <w:szCs w:val="22"/>
              </w:rPr>
              <w:t>工资福利等发放人员范围的精准性和发放数据的准确性</w:t>
            </w:r>
          </w:p>
        </w:tc>
        <w:tc>
          <w:tcPr>
            <w:tcW w:w="992"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709"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100</w:t>
            </w:r>
          </w:p>
        </w:tc>
        <w:tc>
          <w:tcPr>
            <w:tcW w:w="709"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923"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shd w:val="clear" w:color="auto" w:fill="auto"/>
            <w:vAlign w:val="center"/>
          </w:tcPr>
          <w:p>
            <w:pPr>
              <w:rPr>
                <w:rFonts w:ascii="方正书宋_GBK" w:hAnsi="宋体" w:eastAsia="方正书宋_GBK" w:cs="宋体"/>
                <w:color w:val="000000"/>
              </w:rPr>
            </w:pPr>
          </w:p>
        </w:tc>
        <w:tc>
          <w:tcPr>
            <w:tcW w:w="850"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质量</w:t>
            </w:r>
          </w:p>
        </w:tc>
        <w:tc>
          <w:tcPr>
            <w:tcW w:w="1418"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运转保障率</w:t>
            </w:r>
          </w:p>
        </w:tc>
        <w:tc>
          <w:tcPr>
            <w:tcW w:w="4184" w:type="dxa"/>
            <w:shd w:val="clear" w:color="auto" w:fill="auto"/>
            <w:tcMar>
              <w:top w:w="15" w:type="dxa"/>
              <w:left w:w="15" w:type="dxa"/>
              <w:bottom w:w="0" w:type="dxa"/>
              <w:right w:w="15" w:type="dxa"/>
            </w:tcMar>
            <w:vAlign w:val="center"/>
          </w:tcPr>
          <w:p>
            <w:pPr>
              <w:rPr>
                <w:color w:val="000000"/>
                <w:sz w:val="22"/>
                <w:szCs w:val="22"/>
              </w:rPr>
            </w:pPr>
            <w:r>
              <w:rPr>
                <w:rStyle w:val="34"/>
                <w:rFonts w:hint="eastAsia" w:ascii="宋体" w:hAnsi="宋体" w:eastAsia="宋体" w:cs="宋体"/>
              </w:rPr>
              <w:t>每降低</w:t>
            </w:r>
            <w:r>
              <w:rPr>
                <w:rStyle w:val="34"/>
              </w:rPr>
              <w:t>5%</w:t>
            </w:r>
            <w:r>
              <w:rPr>
                <w:rStyle w:val="34"/>
                <w:rFonts w:hint="eastAsia" w:ascii="宋体" w:hAnsi="宋体" w:eastAsia="宋体" w:cs="宋体"/>
              </w:rPr>
              <w:t>，扣标准分值的</w:t>
            </w:r>
            <w:r>
              <w:rPr>
                <w:rStyle w:val="34"/>
              </w:rPr>
              <w:t>5%</w:t>
            </w:r>
            <w:r>
              <w:rPr>
                <w:rStyle w:val="34"/>
                <w:rFonts w:hint="eastAsia" w:ascii="宋体" w:hAnsi="宋体" w:eastAsia="宋体" w:cs="宋体"/>
              </w:rPr>
              <w:t>。</w:t>
            </w:r>
          </w:p>
        </w:tc>
        <w:tc>
          <w:tcPr>
            <w:tcW w:w="4037"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各项日常工作保障率</w:t>
            </w:r>
          </w:p>
        </w:tc>
        <w:tc>
          <w:tcPr>
            <w:tcW w:w="992"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709"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100</w:t>
            </w:r>
          </w:p>
        </w:tc>
        <w:tc>
          <w:tcPr>
            <w:tcW w:w="709"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923"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shd w:val="clear" w:color="auto" w:fill="auto"/>
            <w:vAlign w:val="center"/>
          </w:tcPr>
          <w:p>
            <w:pPr>
              <w:rPr>
                <w:rFonts w:ascii="方正书宋_GBK" w:hAnsi="宋体" w:eastAsia="方正书宋_GBK" w:cs="宋体"/>
                <w:color w:val="000000"/>
              </w:rPr>
            </w:pPr>
          </w:p>
        </w:tc>
        <w:tc>
          <w:tcPr>
            <w:tcW w:w="850"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时效</w:t>
            </w:r>
          </w:p>
        </w:tc>
        <w:tc>
          <w:tcPr>
            <w:tcW w:w="1418" w:type="dxa"/>
            <w:shd w:val="clear" w:color="auto" w:fill="auto"/>
            <w:tcMar>
              <w:top w:w="15" w:type="dxa"/>
              <w:left w:w="15" w:type="dxa"/>
              <w:bottom w:w="0" w:type="dxa"/>
              <w:right w:w="15" w:type="dxa"/>
            </w:tcMar>
          </w:tcPr>
          <w:p>
            <w:pPr>
              <w:rPr>
                <w:rFonts w:eastAsia="宋体"/>
                <w:color w:val="000000"/>
                <w:sz w:val="22"/>
                <w:szCs w:val="22"/>
              </w:rPr>
            </w:pPr>
            <w:r>
              <w:rPr>
                <w:rStyle w:val="34"/>
                <w:rFonts w:hint="eastAsia" w:ascii="宋体" w:hAnsi="宋体" w:eastAsia="宋体" w:cs="宋体"/>
              </w:rPr>
              <w:t>工资</w:t>
            </w:r>
            <w:r>
              <w:rPr>
                <w:rStyle w:val="34"/>
              </w:rPr>
              <w:t>(</w:t>
            </w:r>
            <w:r>
              <w:rPr>
                <w:rStyle w:val="34"/>
                <w:rFonts w:hint="eastAsia" w:ascii="宋体" w:hAnsi="宋体" w:eastAsia="宋体" w:cs="宋体"/>
              </w:rPr>
              <w:t>福利</w:t>
            </w:r>
            <w:r>
              <w:rPr>
                <w:rStyle w:val="34"/>
              </w:rPr>
              <w:t>)</w:t>
            </w:r>
            <w:r>
              <w:rPr>
                <w:rStyle w:val="34"/>
                <w:rFonts w:hint="eastAsia" w:ascii="宋体" w:hAnsi="宋体" w:eastAsia="宋体" w:cs="宋体"/>
              </w:rPr>
              <w:t>发放及时性</w:t>
            </w:r>
          </w:p>
        </w:tc>
        <w:tc>
          <w:tcPr>
            <w:tcW w:w="4184" w:type="dxa"/>
            <w:shd w:val="clear" w:color="auto" w:fill="auto"/>
            <w:tcMar>
              <w:top w:w="15" w:type="dxa"/>
              <w:left w:w="15" w:type="dxa"/>
              <w:bottom w:w="0" w:type="dxa"/>
              <w:right w:w="15" w:type="dxa"/>
            </w:tcMar>
          </w:tcPr>
          <w:p>
            <w:pPr>
              <w:rPr>
                <w:color w:val="000000"/>
                <w:sz w:val="22"/>
                <w:szCs w:val="22"/>
              </w:rPr>
            </w:pPr>
            <w:r>
              <w:rPr>
                <w:rStyle w:val="34"/>
                <w:rFonts w:hint="eastAsia" w:ascii="宋体" w:hAnsi="宋体" w:eastAsia="宋体" w:cs="宋体"/>
              </w:rPr>
              <w:t>未及时发放</w:t>
            </w:r>
            <w:r>
              <w:rPr>
                <w:rStyle w:val="34"/>
              </w:rPr>
              <w:t xml:space="preserve">1 </w:t>
            </w:r>
            <w:r>
              <w:rPr>
                <w:rStyle w:val="34"/>
                <w:rFonts w:hint="eastAsia" w:ascii="宋体" w:hAnsi="宋体" w:eastAsia="宋体" w:cs="宋体"/>
              </w:rPr>
              <w:t>次，扣减分值</w:t>
            </w:r>
            <w:r>
              <w:rPr>
                <w:rStyle w:val="34"/>
              </w:rPr>
              <w:t>5%</w:t>
            </w:r>
          </w:p>
        </w:tc>
        <w:tc>
          <w:tcPr>
            <w:tcW w:w="4037"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工资福利等发放的时效情况</w:t>
            </w:r>
          </w:p>
        </w:tc>
        <w:tc>
          <w:tcPr>
            <w:tcW w:w="992"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文字描述</w:t>
            </w:r>
          </w:p>
        </w:tc>
        <w:tc>
          <w:tcPr>
            <w:tcW w:w="709" w:type="dxa"/>
            <w:shd w:val="clear" w:color="auto" w:fill="auto"/>
            <w:tcMar>
              <w:top w:w="15" w:type="dxa"/>
              <w:left w:w="15" w:type="dxa"/>
              <w:bottom w:w="0" w:type="dxa"/>
              <w:right w:w="15" w:type="dxa"/>
            </w:tcMar>
          </w:tcPr>
          <w:p>
            <w:pPr>
              <w:rPr>
                <w:color w:val="000000"/>
                <w:sz w:val="22"/>
                <w:szCs w:val="22"/>
              </w:rPr>
            </w:pPr>
          </w:p>
        </w:tc>
        <w:tc>
          <w:tcPr>
            <w:tcW w:w="709" w:type="dxa"/>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按规定时间发放</w:t>
            </w:r>
          </w:p>
        </w:tc>
        <w:tc>
          <w:tcPr>
            <w:tcW w:w="923"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shd w:val="clear" w:color="auto" w:fill="auto"/>
            <w:vAlign w:val="center"/>
          </w:tcPr>
          <w:p>
            <w:pPr>
              <w:rPr>
                <w:rFonts w:ascii="方正书宋_GBK" w:hAnsi="宋体" w:eastAsia="方正书宋_GBK" w:cs="宋体"/>
                <w:color w:val="000000"/>
              </w:rPr>
            </w:pPr>
          </w:p>
        </w:tc>
        <w:tc>
          <w:tcPr>
            <w:tcW w:w="850"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时效</w:t>
            </w:r>
          </w:p>
        </w:tc>
        <w:tc>
          <w:tcPr>
            <w:tcW w:w="1418"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经费保障及时性</w:t>
            </w:r>
          </w:p>
        </w:tc>
        <w:tc>
          <w:tcPr>
            <w:tcW w:w="4184"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及时保障得满分，否则不得分。</w:t>
            </w:r>
          </w:p>
        </w:tc>
        <w:tc>
          <w:tcPr>
            <w:tcW w:w="4037"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及时保障各项日常办公需要</w:t>
            </w:r>
          </w:p>
        </w:tc>
        <w:tc>
          <w:tcPr>
            <w:tcW w:w="992"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文字描述</w:t>
            </w:r>
          </w:p>
        </w:tc>
        <w:tc>
          <w:tcPr>
            <w:tcW w:w="709" w:type="dxa"/>
            <w:shd w:val="clear" w:color="auto" w:fill="auto"/>
            <w:tcMar>
              <w:top w:w="15" w:type="dxa"/>
              <w:left w:w="15" w:type="dxa"/>
              <w:bottom w:w="0" w:type="dxa"/>
              <w:right w:w="15" w:type="dxa"/>
            </w:tcMar>
            <w:vAlign w:val="center"/>
          </w:tcPr>
          <w:p>
            <w:pPr>
              <w:rPr>
                <w:color w:val="000000"/>
                <w:sz w:val="22"/>
                <w:szCs w:val="22"/>
              </w:rPr>
            </w:pPr>
          </w:p>
        </w:tc>
        <w:tc>
          <w:tcPr>
            <w:tcW w:w="709"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及时保障</w:t>
            </w:r>
          </w:p>
        </w:tc>
        <w:tc>
          <w:tcPr>
            <w:tcW w:w="923"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shd w:val="clear" w:color="auto" w:fill="auto"/>
            <w:vAlign w:val="center"/>
          </w:tcPr>
          <w:p>
            <w:pPr>
              <w:rPr>
                <w:rFonts w:ascii="方正书宋_GBK" w:hAnsi="宋体" w:eastAsia="方正书宋_GBK" w:cs="宋体"/>
                <w:color w:val="000000"/>
              </w:rPr>
            </w:pPr>
          </w:p>
        </w:tc>
        <w:tc>
          <w:tcPr>
            <w:tcW w:w="850"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时效</w:t>
            </w:r>
          </w:p>
        </w:tc>
        <w:tc>
          <w:tcPr>
            <w:tcW w:w="1418" w:type="dxa"/>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教育教学活动开展及时性</w:t>
            </w:r>
          </w:p>
        </w:tc>
        <w:tc>
          <w:tcPr>
            <w:tcW w:w="4184" w:type="dxa"/>
            <w:shd w:val="clear" w:color="auto" w:fill="auto"/>
            <w:tcMar>
              <w:top w:w="15" w:type="dxa"/>
              <w:left w:w="15" w:type="dxa"/>
              <w:bottom w:w="0" w:type="dxa"/>
              <w:right w:w="15" w:type="dxa"/>
            </w:tcMar>
          </w:tcPr>
          <w:p>
            <w:pPr>
              <w:rPr>
                <w:color w:val="000000"/>
                <w:sz w:val="22"/>
                <w:szCs w:val="22"/>
              </w:rPr>
            </w:pPr>
            <w:r>
              <w:rPr>
                <w:rStyle w:val="34"/>
                <w:rFonts w:hint="eastAsia" w:ascii="宋体" w:hAnsi="宋体" w:eastAsia="宋体" w:cs="宋体"/>
              </w:rPr>
              <w:t>每出现</w:t>
            </w:r>
            <w:r>
              <w:rPr>
                <w:rStyle w:val="34"/>
              </w:rPr>
              <w:t>1</w:t>
            </w:r>
            <w:r>
              <w:rPr>
                <w:rStyle w:val="34"/>
                <w:rFonts w:hint="eastAsia" w:ascii="宋体" w:hAnsi="宋体" w:eastAsia="宋体" w:cs="宋体"/>
              </w:rPr>
              <w:t>次未在规定时间内开展，扣</w:t>
            </w:r>
            <w:r>
              <w:rPr>
                <w:rStyle w:val="34"/>
              </w:rPr>
              <w:t>10%</w:t>
            </w:r>
            <w:r>
              <w:rPr>
                <w:rStyle w:val="34"/>
                <w:rFonts w:hint="eastAsia" w:ascii="宋体" w:hAnsi="宋体" w:eastAsia="宋体" w:cs="宋体"/>
              </w:rPr>
              <w:t>权重分。</w:t>
            </w:r>
          </w:p>
        </w:tc>
        <w:tc>
          <w:tcPr>
            <w:tcW w:w="4037"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教育教学活动开展及时性</w:t>
            </w:r>
          </w:p>
        </w:tc>
        <w:tc>
          <w:tcPr>
            <w:tcW w:w="992"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文字描述</w:t>
            </w:r>
          </w:p>
        </w:tc>
        <w:tc>
          <w:tcPr>
            <w:tcW w:w="709" w:type="dxa"/>
            <w:shd w:val="clear" w:color="auto" w:fill="auto"/>
            <w:tcMar>
              <w:top w:w="15" w:type="dxa"/>
              <w:left w:w="15" w:type="dxa"/>
              <w:bottom w:w="0" w:type="dxa"/>
              <w:right w:w="15" w:type="dxa"/>
            </w:tcMar>
            <w:vAlign w:val="center"/>
          </w:tcPr>
          <w:p>
            <w:pPr>
              <w:rPr>
                <w:color w:val="000000"/>
                <w:sz w:val="22"/>
                <w:szCs w:val="22"/>
              </w:rPr>
            </w:pPr>
          </w:p>
        </w:tc>
        <w:tc>
          <w:tcPr>
            <w:tcW w:w="709"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按规定时间开展</w:t>
            </w:r>
          </w:p>
        </w:tc>
        <w:tc>
          <w:tcPr>
            <w:tcW w:w="923"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shd w:val="clear" w:color="auto" w:fill="auto"/>
            <w:vAlign w:val="center"/>
          </w:tcPr>
          <w:p>
            <w:pPr>
              <w:rPr>
                <w:rFonts w:ascii="方正书宋_GBK" w:hAnsi="宋体" w:eastAsia="方正书宋_GBK" w:cs="宋体"/>
                <w:color w:val="000000"/>
              </w:rPr>
            </w:pPr>
          </w:p>
        </w:tc>
        <w:tc>
          <w:tcPr>
            <w:tcW w:w="850"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成本</w:t>
            </w:r>
          </w:p>
        </w:tc>
        <w:tc>
          <w:tcPr>
            <w:tcW w:w="1418" w:type="dxa"/>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工资（福利）、社会保障（公积金）等发放（缴纳）标准</w:t>
            </w:r>
          </w:p>
        </w:tc>
        <w:tc>
          <w:tcPr>
            <w:tcW w:w="4184"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按规定执行得满分，否则不得分</w:t>
            </w:r>
          </w:p>
        </w:tc>
        <w:tc>
          <w:tcPr>
            <w:tcW w:w="4037"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工资（福利）、社会保障（公积金）等发放（缴纳）标准</w:t>
            </w:r>
          </w:p>
        </w:tc>
        <w:tc>
          <w:tcPr>
            <w:tcW w:w="992"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文字描述</w:t>
            </w:r>
          </w:p>
        </w:tc>
        <w:tc>
          <w:tcPr>
            <w:tcW w:w="709" w:type="dxa"/>
            <w:shd w:val="clear" w:color="auto" w:fill="auto"/>
            <w:tcMar>
              <w:top w:w="15" w:type="dxa"/>
              <w:left w:w="15" w:type="dxa"/>
              <w:bottom w:w="0" w:type="dxa"/>
              <w:right w:w="15" w:type="dxa"/>
            </w:tcMar>
          </w:tcPr>
          <w:p>
            <w:pPr>
              <w:rPr>
                <w:color w:val="000000"/>
                <w:sz w:val="22"/>
                <w:szCs w:val="22"/>
              </w:rPr>
            </w:pPr>
          </w:p>
        </w:tc>
        <w:tc>
          <w:tcPr>
            <w:tcW w:w="709" w:type="dxa"/>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按规定执行</w:t>
            </w:r>
          </w:p>
        </w:tc>
        <w:tc>
          <w:tcPr>
            <w:tcW w:w="923"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141" w:hRule="atLeast"/>
          <w:jc w:val="center"/>
        </w:trPr>
        <w:tc>
          <w:tcPr>
            <w:tcW w:w="1008" w:type="dxa"/>
            <w:vMerge w:val="restart"/>
            <w:shd w:val="clear" w:color="auto" w:fill="auto"/>
            <w:tcMar>
              <w:top w:w="15" w:type="dxa"/>
              <w:left w:w="15" w:type="dxa"/>
              <w:bottom w:w="0" w:type="dxa"/>
              <w:right w:w="15" w:type="dxa"/>
            </w:tcMar>
            <w:vAlign w:val="center"/>
          </w:tcPr>
          <w:p>
            <w:pPr>
              <w:jc w:val="center"/>
              <w:rPr>
                <w:rFonts w:ascii="宋体" w:hAnsi="宋体" w:cs="宋体"/>
                <w:color w:val="000000"/>
              </w:rPr>
            </w:pPr>
            <w:r>
              <w:rPr>
                <w:rFonts w:hint="eastAsia" w:ascii="宋体" w:hAnsi="宋体" w:eastAsia="宋体" w:cs="宋体"/>
                <w:color w:val="000000"/>
              </w:rPr>
              <w:t>部门效果</w:t>
            </w:r>
          </w:p>
        </w:tc>
        <w:tc>
          <w:tcPr>
            <w:tcW w:w="850"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1418" w:type="dxa"/>
            <w:shd w:val="clear" w:color="auto" w:fill="auto"/>
            <w:noWrap/>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加强工作人员归属感，保持教师伍稳定</w:t>
            </w:r>
          </w:p>
        </w:tc>
        <w:tc>
          <w:tcPr>
            <w:tcW w:w="4184" w:type="dxa"/>
            <w:shd w:val="clear" w:color="auto" w:fill="auto"/>
            <w:noWrap/>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保持相对稳定得满分，否则不得分</w:t>
            </w:r>
          </w:p>
        </w:tc>
        <w:tc>
          <w:tcPr>
            <w:tcW w:w="4037" w:type="dxa"/>
            <w:shd w:val="clear" w:color="auto" w:fill="auto"/>
            <w:noWrap/>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通过按时按标准发放工资福利等，进一步增强干部职工得归属感，保持职工队伍相对稳定，保障办公正常运转</w:t>
            </w:r>
          </w:p>
        </w:tc>
        <w:tc>
          <w:tcPr>
            <w:tcW w:w="992"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文字描述</w:t>
            </w:r>
          </w:p>
        </w:tc>
        <w:tc>
          <w:tcPr>
            <w:tcW w:w="709" w:type="dxa"/>
            <w:shd w:val="clear" w:color="auto" w:fill="auto"/>
            <w:tcMar>
              <w:top w:w="15" w:type="dxa"/>
              <w:left w:w="15" w:type="dxa"/>
              <w:bottom w:w="0" w:type="dxa"/>
              <w:right w:w="15" w:type="dxa"/>
            </w:tcMar>
            <w:vAlign w:val="center"/>
          </w:tcPr>
          <w:p>
            <w:pPr>
              <w:rPr>
                <w:color w:val="000000"/>
                <w:sz w:val="22"/>
                <w:szCs w:val="22"/>
              </w:rPr>
            </w:pPr>
          </w:p>
        </w:tc>
        <w:tc>
          <w:tcPr>
            <w:tcW w:w="709"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保持职工队伍相对稳定</w:t>
            </w:r>
          </w:p>
        </w:tc>
        <w:tc>
          <w:tcPr>
            <w:tcW w:w="923"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56" w:hRule="atLeast"/>
          <w:jc w:val="center"/>
        </w:trPr>
        <w:tc>
          <w:tcPr>
            <w:tcW w:w="1008" w:type="dxa"/>
            <w:vMerge w:val="continue"/>
            <w:shd w:val="clear" w:color="auto" w:fill="auto"/>
            <w:vAlign w:val="center"/>
          </w:tcPr>
          <w:p>
            <w:pPr>
              <w:rPr>
                <w:rFonts w:ascii="宋体" w:hAnsi="宋体" w:eastAsia="宋体" w:cs="宋体"/>
                <w:color w:val="000000"/>
              </w:rPr>
            </w:pPr>
          </w:p>
        </w:tc>
        <w:tc>
          <w:tcPr>
            <w:tcW w:w="850"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1418" w:type="dxa"/>
            <w:shd w:val="clear" w:color="auto" w:fill="auto"/>
            <w:noWrap/>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保障日常办公需要，维持单位正常运转</w:t>
            </w:r>
          </w:p>
        </w:tc>
        <w:tc>
          <w:tcPr>
            <w:tcW w:w="4184" w:type="dxa"/>
            <w:shd w:val="clear" w:color="auto" w:fill="auto"/>
            <w:noWrap/>
            <w:tcMar>
              <w:top w:w="15" w:type="dxa"/>
              <w:left w:w="15" w:type="dxa"/>
              <w:bottom w:w="0" w:type="dxa"/>
              <w:right w:w="15" w:type="dxa"/>
            </w:tcMar>
            <w:vAlign w:val="center"/>
          </w:tcPr>
          <w:p>
            <w:pPr>
              <w:rPr>
                <w:color w:val="000000"/>
                <w:sz w:val="22"/>
                <w:szCs w:val="22"/>
              </w:rPr>
            </w:pPr>
            <w:r>
              <w:rPr>
                <w:rStyle w:val="34"/>
                <w:rFonts w:hint="eastAsia" w:ascii="宋体" w:hAnsi="宋体" w:eastAsia="宋体" w:cs="宋体"/>
              </w:rPr>
              <w:t>每减少受益教师</w:t>
            </w:r>
            <w:r>
              <w:rPr>
                <w:rStyle w:val="34"/>
              </w:rPr>
              <w:t>1</w:t>
            </w:r>
            <w:r>
              <w:rPr>
                <w:rStyle w:val="34"/>
                <w:rFonts w:hint="eastAsia" w:ascii="宋体" w:hAnsi="宋体" w:eastAsia="宋体" w:cs="宋体"/>
              </w:rPr>
              <w:t>人，扣</w:t>
            </w:r>
            <w:r>
              <w:rPr>
                <w:rStyle w:val="34"/>
              </w:rPr>
              <w:t>2.5%</w:t>
            </w:r>
            <w:r>
              <w:rPr>
                <w:rStyle w:val="34"/>
                <w:rFonts w:hint="eastAsia" w:ascii="宋体" w:hAnsi="宋体" w:eastAsia="宋体" w:cs="宋体"/>
              </w:rPr>
              <w:t>权重分。</w:t>
            </w:r>
          </w:p>
        </w:tc>
        <w:tc>
          <w:tcPr>
            <w:tcW w:w="4037" w:type="dxa"/>
            <w:shd w:val="clear" w:color="auto" w:fill="auto"/>
            <w:noWrap/>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保障日常办公需要，维持单位正常运转</w:t>
            </w:r>
          </w:p>
        </w:tc>
        <w:tc>
          <w:tcPr>
            <w:tcW w:w="992"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文字描述</w:t>
            </w:r>
          </w:p>
        </w:tc>
        <w:tc>
          <w:tcPr>
            <w:tcW w:w="709" w:type="dxa"/>
            <w:shd w:val="clear" w:color="auto" w:fill="auto"/>
            <w:tcMar>
              <w:top w:w="15" w:type="dxa"/>
              <w:left w:w="15" w:type="dxa"/>
              <w:bottom w:w="0" w:type="dxa"/>
              <w:right w:w="15" w:type="dxa"/>
            </w:tcMar>
            <w:vAlign w:val="center"/>
          </w:tcPr>
          <w:p>
            <w:pPr>
              <w:rPr>
                <w:color w:val="000000"/>
                <w:sz w:val="22"/>
                <w:szCs w:val="22"/>
              </w:rPr>
            </w:pPr>
          </w:p>
        </w:tc>
        <w:tc>
          <w:tcPr>
            <w:tcW w:w="709"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维持单位正常运转</w:t>
            </w:r>
          </w:p>
        </w:tc>
        <w:tc>
          <w:tcPr>
            <w:tcW w:w="923"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56" w:hRule="atLeast"/>
          <w:jc w:val="center"/>
        </w:trPr>
        <w:tc>
          <w:tcPr>
            <w:tcW w:w="1008" w:type="dxa"/>
            <w:vMerge w:val="continue"/>
            <w:shd w:val="clear" w:color="auto" w:fill="auto"/>
            <w:vAlign w:val="center"/>
          </w:tcPr>
          <w:p>
            <w:pPr>
              <w:rPr>
                <w:rFonts w:ascii="宋体" w:hAnsi="宋体" w:eastAsia="宋体" w:cs="宋体"/>
                <w:color w:val="000000"/>
              </w:rPr>
            </w:pPr>
          </w:p>
        </w:tc>
        <w:tc>
          <w:tcPr>
            <w:tcW w:w="850"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1418" w:type="dxa"/>
            <w:shd w:val="clear" w:color="auto" w:fill="auto"/>
            <w:noWrap/>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保障学校正常教育教学活动开展</w:t>
            </w:r>
          </w:p>
        </w:tc>
        <w:tc>
          <w:tcPr>
            <w:tcW w:w="4184" w:type="dxa"/>
            <w:shd w:val="clear" w:color="auto" w:fill="auto"/>
            <w:noWrap/>
            <w:tcMar>
              <w:top w:w="15" w:type="dxa"/>
              <w:left w:w="15" w:type="dxa"/>
              <w:bottom w:w="0" w:type="dxa"/>
              <w:right w:w="15" w:type="dxa"/>
            </w:tcMar>
            <w:vAlign w:val="center"/>
          </w:tcPr>
          <w:p>
            <w:pPr>
              <w:rPr>
                <w:color w:val="000000"/>
                <w:sz w:val="22"/>
                <w:szCs w:val="22"/>
              </w:rPr>
            </w:pPr>
            <w:r>
              <w:rPr>
                <w:rStyle w:val="34"/>
                <w:rFonts w:hint="eastAsia" w:ascii="宋体" w:hAnsi="宋体" w:eastAsia="宋体" w:cs="宋体"/>
              </w:rPr>
              <w:t>达标得满分，基本达标得</w:t>
            </w:r>
            <w:r>
              <w:rPr>
                <w:rStyle w:val="34"/>
              </w:rPr>
              <w:t>80%</w:t>
            </w:r>
            <w:r>
              <w:rPr>
                <w:rStyle w:val="34"/>
                <w:rFonts w:hint="eastAsia" w:ascii="宋体" w:hAnsi="宋体" w:eastAsia="宋体" w:cs="宋体"/>
              </w:rPr>
              <w:t>权重分，部分达标得</w:t>
            </w:r>
            <w:r>
              <w:rPr>
                <w:rStyle w:val="34"/>
              </w:rPr>
              <w:t>60%</w:t>
            </w:r>
            <w:r>
              <w:rPr>
                <w:rStyle w:val="34"/>
                <w:rFonts w:hint="eastAsia" w:ascii="宋体" w:hAnsi="宋体" w:eastAsia="宋体" w:cs="宋体"/>
              </w:rPr>
              <w:t>权重分，不达标不得分。</w:t>
            </w:r>
          </w:p>
        </w:tc>
        <w:tc>
          <w:tcPr>
            <w:tcW w:w="4037" w:type="dxa"/>
            <w:shd w:val="clear" w:color="auto" w:fill="auto"/>
            <w:noWrap/>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有效保障学校正常教育教学活动开展</w:t>
            </w:r>
          </w:p>
        </w:tc>
        <w:tc>
          <w:tcPr>
            <w:tcW w:w="992"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文字描述</w:t>
            </w:r>
          </w:p>
        </w:tc>
        <w:tc>
          <w:tcPr>
            <w:tcW w:w="709" w:type="dxa"/>
            <w:shd w:val="clear" w:color="auto" w:fill="auto"/>
            <w:tcMar>
              <w:top w:w="15" w:type="dxa"/>
              <w:left w:w="15" w:type="dxa"/>
              <w:bottom w:w="0" w:type="dxa"/>
              <w:right w:w="15" w:type="dxa"/>
            </w:tcMar>
            <w:vAlign w:val="center"/>
          </w:tcPr>
          <w:p>
            <w:pPr>
              <w:rPr>
                <w:color w:val="000000"/>
                <w:sz w:val="22"/>
                <w:szCs w:val="22"/>
              </w:rPr>
            </w:pPr>
          </w:p>
        </w:tc>
        <w:tc>
          <w:tcPr>
            <w:tcW w:w="709" w:type="dxa"/>
            <w:shd w:val="clear" w:color="auto" w:fill="auto"/>
            <w:tcMar>
              <w:top w:w="15" w:type="dxa"/>
              <w:left w:w="15" w:type="dxa"/>
              <w:bottom w:w="0" w:type="dxa"/>
              <w:right w:w="15" w:type="dxa"/>
            </w:tcMar>
            <w:vAlign w:val="center"/>
          </w:tcPr>
          <w:p>
            <w:pPr>
              <w:jc w:val="center"/>
              <w:rPr>
                <w:rFonts w:eastAsia="宋体"/>
                <w:color w:val="000000"/>
                <w:sz w:val="22"/>
                <w:szCs w:val="22"/>
              </w:rPr>
            </w:pPr>
            <w:r>
              <w:rPr>
                <w:rFonts w:hint="eastAsia" w:ascii="宋体" w:hAnsi="宋体" w:eastAsia="宋体" w:cs="宋体"/>
                <w:color w:val="000000"/>
                <w:sz w:val="22"/>
                <w:szCs w:val="22"/>
              </w:rPr>
              <w:t>有效</w:t>
            </w:r>
          </w:p>
        </w:tc>
        <w:tc>
          <w:tcPr>
            <w:tcW w:w="923"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58" w:hRule="atLeast"/>
          <w:jc w:val="center"/>
        </w:trPr>
        <w:tc>
          <w:tcPr>
            <w:tcW w:w="1008" w:type="dxa"/>
            <w:vMerge w:val="continue"/>
            <w:shd w:val="clear" w:color="auto" w:fill="auto"/>
            <w:vAlign w:val="center"/>
          </w:tcPr>
          <w:p>
            <w:pPr>
              <w:rPr>
                <w:rFonts w:ascii="宋体" w:hAnsi="宋体" w:eastAsia="宋体" w:cs="宋体"/>
                <w:color w:val="000000"/>
              </w:rPr>
            </w:pPr>
          </w:p>
        </w:tc>
        <w:tc>
          <w:tcPr>
            <w:tcW w:w="850"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1418" w:type="dxa"/>
            <w:shd w:val="clear" w:color="auto" w:fill="auto"/>
            <w:noWrap/>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保持教师队伍稳定性</w:t>
            </w:r>
          </w:p>
        </w:tc>
        <w:tc>
          <w:tcPr>
            <w:tcW w:w="4184" w:type="dxa"/>
            <w:shd w:val="clear" w:color="auto" w:fill="auto"/>
            <w:noWrap/>
            <w:tcMar>
              <w:top w:w="15" w:type="dxa"/>
              <w:left w:w="15" w:type="dxa"/>
              <w:bottom w:w="0" w:type="dxa"/>
              <w:right w:w="15" w:type="dxa"/>
            </w:tcMar>
            <w:vAlign w:val="center"/>
          </w:tcPr>
          <w:p>
            <w:pPr>
              <w:rPr>
                <w:color w:val="000000"/>
                <w:sz w:val="22"/>
                <w:szCs w:val="22"/>
              </w:rPr>
            </w:pPr>
            <w:r>
              <w:rPr>
                <w:rStyle w:val="34"/>
                <w:rFonts w:hint="eastAsia" w:ascii="宋体" w:hAnsi="宋体" w:eastAsia="宋体" w:cs="宋体"/>
              </w:rPr>
              <w:t>每减少受益教师</w:t>
            </w:r>
            <w:r>
              <w:rPr>
                <w:rStyle w:val="34"/>
              </w:rPr>
              <w:t>1</w:t>
            </w:r>
            <w:r>
              <w:rPr>
                <w:rStyle w:val="34"/>
                <w:rFonts w:hint="eastAsia" w:ascii="宋体" w:hAnsi="宋体" w:eastAsia="宋体" w:cs="宋体"/>
              </w:rPr>
              <w:t>人，扣</w:t>
            </w:r>
            <w:r>
              <w:rPr>
                <w:rStyle w:val="34"/>
              </w:rPr>
              <w:t>2.5%</w:t>
            </w:r>
            <w:r>
              <w:rPr>
                <w:rStyle w:val="34"/>
                <w:rFonts w:hint="eastAsia" w:ascii="宋体" w:hAnsi="宋体" w:eastAsia="宋体" w:cs="宋体"/>
              </w:rPr>
              <w:t>权重分。</w:t>
            </w:r>
          </w:p>
        </w:tc>
        <w:tc>
          <w:tcPr>
            <w:tcW w:w="4037" w:type="dxa"/>
            <w:shd w:val="clear" w:color="auto" w:fill="auto"/>
            <w:noWrap/>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有效保持教师队伍稳定性</w:t>
            </w:r>
          </w:p>
        </w:tc>
        <w:tc>
          <w:tcPr>
            <w:tcW w:w="992"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文字描述</w:t>
            </w:r>
          </w:p>
        </w:tc>
        <w:tc>
          <w:tcPr>
            <w:tcW w:w="709" w:type="dxa"/>
            <w:shd w:val="clear" w:color="auto" w:fill="auto"/>
            <w:tcMar>
              <w:top w:w="15" w:type="dxa"/>
              <w:left w:w="15" w:type="dxa"/>
              <w:bottom w:w="0" w:type="dxa"/>
              <w:right w:w="15" w:type="dxa"/>
            </w:tcMar>
            <w:vAlign w:val="center"/>
          </w:tcPr>
          <w:p>
            <w:pPr>
              <w:rPr>
                <w:color w:val="000000"/>
                <w:sz w:val="22"/>
                <w:szCs w:val="22"/>
              </w:rPr>
            </w:pPr>
          </w:p>
        </w:tc>
        <w:tc>
          <w:tcPr>
            <w:tcW w:w="709" w:type="dxa"/>
            <w:shd w:val="clear" w:color="auto" w:fill="auto"/>
            <w:tcMar>
              <w:top w:w="15" w:type="dxa"/>
              <w:left w:w="15" w:type="dxa"/>
              <w:bottom w:w="0" w:type="dxa"/>
              <w:right w:w="15" w:type="dxa"/>
            </w:tcMar>
            <w:vAlign w:val="center"/>
          </w:tcPr>
          <w:p>
            <w:pPr>
              <w:jc w:val="center"/>
              <w:rPr>
                <w:rFonts w:eastAsia="宋体"/>
                <w:color w:val="000000"/>
                <w:sz w:val="22"/>
                <w:szCs w:val="22"/>
              </w:rPr>
            </w:pPr>
            <w:r>
              <w:rPr>
                <w:rFonts w:hint="eastAsia" w:ascii="宋体" w:hAnsi="宋体" w:eastAsia="宋体" w:cs="宋体"/>
                <w:color w:val="000000"/>
                <w:sz w:val="22"/>
                <w:szCs w:val="22"/>
              </w:rPr>
              <w:t>有效</w:t>
            </w:r>
          </w:p>
        </w:tc>
        <w:tc>
          <w:tcPr>
            <w:tcW w:w="923"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shd w:val="clear" w:color="auto" w:fill="auto"/>
            <w:vAlign w:val="center"/>
          </w:tcPr>
          <w:p>
            <w:pPr>
              <w:rPr>
                <w:rFonts w:ascii="宋体" w:hAnsi="宋体" w:eastAsia="宋体" w:cs="宋体"/>
                <w:color w:val="000000"/>
              </w:rPr>
            </w:pPr>
          </w:p>
        </w:tc>
        <w:tc>
          <w:tcPr>
            <w:tcW w:w="850"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满意度</w:t>
            </w:r>
          </w:p>
        </w:tc>
        <w:tc>
          <w:tcPr>
            <w:tcW w:w="1418" w:type="dxa"/>
            <w:shd w:val="clear" w:color="auto" w:fill="auto"/>
            <w:noWrap/>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教职工满意度</w:t>
            </w:r>
          </w:p>
        </w:tc>
        <w:tc>
          <w:tcPr>
            <w:tcW w:w="4184" w:type="dxa"/>
            <w:shd w:val="clear" w:color="auto" w:fill="auto"/>
            <w:noWrap/>
            <w:tcMar>
              <w:top w:w="15" w:type="dxa"/>
              <w:left w:w="15" w:type="dxa"/>
              <w:bottom w:w="0" w:type="dxa"/>
              <w:right w:w="15" w:type="dxa"/>
            </w:tcMar>
            <w:vAlign w:val="center"/>
          </w:tcPr>
          <w:p>
            <w:pPr>
              <w:rPr>
                <w:color w:val="000000"/>
                <w:sz w:val="22"/>
                <w:szCs w:val="22"/>
              </w:rPr>
            </w:pPr>
            <w:r>
              <w:rPr>
                <w:rStyle w:val="34"/>
                <w:rFonts w:hint="eastAsia" w:ascii="宋体" w:hAnsi="宋体" w:eastAsia="宋体" w:cs="宋体"/>
              </w:rPr>
              <w:t>达到指标目标值得满分，每下降</w:t>
            </w:r>
            <w:r>
              <w:rPr>
                <w:rStyle w:val="34"/>
              </w:rPr>
              <w:t>1%</w:t>
            </w:r>
            <w:r>
              <w:rPr>
                <w:rStyle w:val="34"/>
                <w:rFonts w:hint="eastAsia" w:ascii="宋体" w:hAnsi="宋体" w:eastAsia="宋体" w:cs="宋体"/>
              </w:rPr>
              <w:t>，扣权重分值的</w:t>
            </w:r>
            <w:r>
              <w:rPr>
                <w:rStyle w:val="34"/>
              </w:rPr>
              <w:t>2.5%</w:t>
            </w:r>
            <w:r>
              <w:rPr>
                <w:rStyle w:val="34"/>
                <w:rFonts w:hint="eastAsia" w:ascii="宋体" w:hAnsi="宋体" w:eastAsia="宋体" w:cs="宋体"/>
              </w:rPr>
              <w:t>，低于</w:t>
            </w:r>
            <w:r>
              <w:rPr>
                <w:rStyle w:val="34"/>
              </w:rPr>
              <w:t>60%</w:t>
            </w:r>
            <w:r>
              <w:rPr>
                <w:rStyle w:val="34"/>
                <w:rFonts w:hint="eastAsia" w:ascii="宋体" w:hAnsi="宋体" w:eastAsia="宋体" w:cs="宋体"/>
              </w:rPr>
              <w:t>不得分。</w:t>
            </w:r>
          </w:p>
        </w:tc>
        <w:tc>
          <w:tcPr>
            <w:tcW w:w="4037" w:type="dxa"/>
            <w:shd w:val="clear" w:color="auto" w:fill="auto"/>
            <w:noWrap/>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教职工满意度</w:t>
            </w:r>
          </w:p>
        </w:tc>
        <w:tc>
          <w:tcPr>
            <w:tcW w:w="992"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709"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95</w:t>
            </w:r>
          </w:p>
        </w:tc>
        <w:tc>
          <w:tcPr>
            <w:tcW w:w="709"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923"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问卷调查</w:t>
            </w:r>
          </w:p>
        </w:tc>
      </w:tr>
    </w:tbl>
    <w:p>
      <w:pPr>
        <w:ind w:firstLine="640"/>
        <w:rPr>
          <w:rFonts w:ascii="方正楷体_GBK" w:hAnsi="方正楷体_GBK" w:eastAsia="方正楷体_GBK" w:cs="方正楷体_GBK"/>
          <w:b/>
          <w:color w:val="000000"/>
          <w:sz w:val="32"/>
        </w:rPr>
      </w:pPr>
    </w:p>
    <w:p>
      <w:pPr>
        <w:spacing w:before="10" w:after="10"/>
        <w:ind w:firstLine="640"/>
        <w:outlineLvl w:val="2"/>
      </w:pPr>
      <w:bookmarkStart w:id="28" w:name="tz_0002_0006"/>
      <w:bookmarkEnd w:id="28"/>
      <w:bookmarkStart w:id="29" w:name="_Toc_3_3_0000000015"/>
      <w:r>
        <w:rPr>
          <w:rFonts w:ascii="黑体" w:hAnsi="黑体" w:eastAsia="黑体" w:cs="黑体"/>
          <w:color w:val="000000"/>
          <w:sz w:val="32"/>
        </w:rPr>
        <w:t>六、政府采购预算情况</w:t>
      </w:r>
      <w:bookmarkEnd w:id="29"/>
    </w:p>
    <w:p>
      <w:pPr>
        <w:spacing w:line="500" w:lineRule="exact"/>
        <w:ind w:firstLine="560"/>
      </w:pPr>
      <w:r>
        <w:rPr>
          <w:rFonts w:eastAsia="方正仿宋_GBK"/>
          <w:color w:val="000000"/>
          <w:sz w:val="28"/>
        </w:rPr>
        <w:t>2023年，廊坊市广阳区第六幼儿园安排政府采购预算0.00万元。具体内容见下表。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436廊坊市广阳区第六幼儿园</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2"/>
      </w:pPr>
      <w:bookmarkStart w:id="30" w:name="tz_0002_0007"/>
      <w:bookmarkEnd w:id="30"/>
      <w:bookmarkStart w:id="31" w:name="_Toc_3_3_0000000016"/>
      <w:r>
        <w:rPr>
          <w:rFonts w:ascii="黑体" w:hAnsi="黑体" w:eastAsia="黑体" w:cs="黑体"/>
          <w:color w:val="000000"/>
          <w:sz w:val="32"/>
        </w:rPr>
        <w:t>七、国有资产信息</w:t>
      </w:r>
      <w:bookmarkEnd w:id="31"/>
    </w:p>
    <w:p>
      <w:pPr>
        <w:spacing w:line="500" w:lineRule="exact"/>
        <w:ind w:firstLine="560"/>
      </w:pPr>
      <w:r>
        <w:rPr>
          <w:rFonts w:eastAsia="方正仿宋_GBK"/>
          <w:color w:val="000000"/>
          <w:sz w:val="28"/>
        </w:rPr>
        <w:t>廊坊市广阳区第六幼儿园（含所属单位）上年末固定资产金额为0.00万元（详见下表）。本年度拟购置固定资产总额为0.00万元，已按要求列入政府采购预算，详见政府采购预算表。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436廊坊市广阳区第六幼儿园</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p>
        </w:tc>
        <w:tc>
          <w:tcPr>
            <w:tcW w:w="2835" w:type="dxa"/>
            <w:vAlign w:val="center"/>
          </w:tcPr>
          <w:p>
            <w:pPr>
              <w:pStyle w:val="18"/>
            </w:pPr>
          </w:p>
        </w:tc>
        <w:tc>
          <w:tcPr>
            <w:tcW w:w="2835" w:type="dxa"/>
            <w:vAlign w:val="center"/>
          </w:tcPr>
          <w:p>
            <w:pPr>
              <w:pStyle w:val="16"/>
            </w:pPr>
          </w:p>
        </w:tc>
      </w:tr>
    </w:tbl>
    <w:p>
      <w:pPr>
        <w:ind w:firstLine="420"/>
      </w:pPr>
      <w:r>
        <w:rPr>
          <w:rFonts w:ascii="方正书宋_GBK" w:hAnsi="方正书宋_GBK" w:eastAsia="方正书宋_GBK" w:cs="方正书宋_GBK"/>
          <w:color w:val="000000"/>
          <w:sz w:val="21"/>
        </w:rPr>
        <w:t>注：无固定资产占用情况，空表列示。</w:t>
      </w:r>
    </w:p>
    <w:p>
      <w:pPr>
        <w:ind w:firstLine="640"/>
      </w:pPr>
    </w:p>
    <w:p>
      <w:pPr>
        <w:spacing w:before="10" w:after="10"/>
        <w:ind w:firstLine="640"/>
        <w:outlineLvl w:val="2"/>
      </w:pPr>
      <w:bookmarkStart w:id="32" w:name="tz_0002_0008"/>
      <w:bookmarkEnd w:id="32"/>
      <w:bookmarkStart w:id="33" w:name="_Toc_3_3_0000000017"/>
      <w:r>
        <w:rPr>
          <w:rFonts w:ascii="黑体" w:hAnsi="黑体" w:eastAsia="黑体" w:cs="黑体"/>
          <w:color w:val="000000"/>
          <w:sz w:val="32"/>
        </w:rPr>
        <w:t>八、名词解释</w:t>
      </w:r>
      <w:bookmarkEnd w:id="33"/>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指区级财政当年拨付的资金。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区级财政预算管理的“三公”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34" w:name="tz_0002_0009"/>
      <w:bookmarkEnd w:id="34"/>
      <w:bookmarkStart w:id="35" w:name="_Toc_3_3_0000000018"/>
      <w:r>
        <w:rPr>
          <w:rFonts w:ascii="黑体" w:hAnsi="黑体" w:eastAsia="黑体" w:cs="黑体"/>
          <w:color w:val="000000"/>
          <w:sz w:val="32"/>
        </w:rPr>
        <w:t>九、其他需要说明的事项</w:t>
      </w:r>
      <w:bookmarkEnd w:id="35"/>
    </w:p>
    <w:p>
      <w:pPr>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1349E0"/>
    <w:rsid w:val="001349E0"/>
    <w:rsid w:val="00411685"/>
    <w:rsid w:val="004C3A99"/>
    <w:rsid w:val="00A96929"/>
    <w:rsid w:val="00BE4A7F"/>
    <w:rsid w:val="00C43F7C"/>
    <w:rsid w:val="00C52F44"/>
    <w:rsid w:val="00D61C9B"/>
    <w:rsid w:val="732160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6"/>
    <w:semiHidden/>
    <w:unhideWhenUsed/>
    <w:uiPriority w:val="99"/>
    <w:pPr>
      <w:tabs>
        <w:tab w:val="center" w:pos="4153"/>
        <w:tab w:val="right" w:pos="8306"/>
      </w:tabs>
      <w:snapToGrid w:val="0"/>
    </w:pPr>
    <w:rPr>
      <w:sz w:val="18"/>
      <w:szCs w:val="18"/>
    </w:rPr>
  </w:style>
  <w:style w:type="paragraph" w:styleId="4">
    <w:name w:val="header"/>
    <w:basedOn w:val="1"/>
    <w:link w:val="35"/>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uiPriority w:val="99"/>
    <w:rPr>
      <w:color w:val="0563C1" w:themeColor="hyperlink"/>
      <w:u w:val="single"/>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font41"/>
    <w:basedOn w:val="10"/>
    <w:uiPriority w:val="0"/>
    <w:rPr>
      <w:rFonts w:hint="default" w:ascii="Times New Roman" w:hAnsi="Times New Roman" w:cs="Times New Roman"/>
      <w:color w:val="000000"/>
      <w:sz w:val="22"/>
      <w:szCs w:val="22"/>
      <w:u w:val="none"/>
    </w:rPr>
  </w:style>
  <w:style w:type="character" w:customStyle="1" w:styleId="35">
    <w:name w:val="页眉 Char"/>
    <w:basedOn w:val="10"/>
    <w:link w:val="4"/>
    <w:semiHidden/>
    <w:uiPriority w:val="99"/>
    <w:rPr>
      <w:rFonts w:eastAsia="Times New Roman"/>
      <w:sz w:val="18"/>
      <w:szCs w:val="18"/>
      <w:lang w:eastAsia="uk-UA"/>
    </w:rPr>
  </w:style>
  <w:style w:type="character" w:customStyle="1" w:styleId="36">
    <w:name w:val="页脚 Char"/>
    <w:basedOn w:val="10"/>
    <w:link w:val="3"/>
    <w:semiHidden/>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2023-03-13T11:07:20Z</dcterms:created>
  <dcterms:modified xsi:type="dcterms:W3CDTF">2023-03-13T03:07:20Z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2023-03-13T11:07:20Z</dcterms:created>
  <dcterms:modified xsi:type="dcterms:W3CDTF">2023-03-13T03:07:20Z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2023-03-13T11:07:17Z</dcterms:created>
  <dcterms:modified xsi:type="dcterms:W3CDTF">2023-03-13T03:07:17Z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2023-03-13T11:07:17Z</dcterms:created>
  <dcterms:modified xsi:type="dcterms:W3CDTF">2023-03-13T03:07:17Z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2023-03-13T11:07:17Z</dcterms:created>
  <dcterms:modified xsi:type="dcterms:W3CDTF">2023-03-13T03:07:17Z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E21FF1C-B4E5-4CE9-BCBE-A91AEE1332AD}">
  <ds:schemaRefs/>
</ds:datastoreItem>
</file>

<file path=customXml/itemProps10.xml><?xml version="1.0" encoding="utf-8"?>
<ds:datastoreItem xmlns:ds="http://schemas.openxmlformats.org/officeDocument/2006/customXml" ds:itemID="{73D6D781-70D3-4A4B-B226-43AE257D8B69}">
  <ds:schemaRefs/>
</ds:datastoreItem>
</file>

<file path=customXml/itemProps2.xml><?xml version="1.0" encoding="utf-8"?>
<ds:datastoreItem xmlns:ds="http://schemas.openxmlformats.org/officeDocument/2006/customXml" ds:itemID="{91601840-ADA7-47DF-ABD3-ECC15FB03902}">
  <ds:schemaRefs/>
</ds:datastoreItem>
</file>

<file path=customXml/itemProps3.xml><?xml version="1.0" encoding="utf-8"?>
<ds:datastoreItem xmlns:ds="http://schemas.openxmlformats.org/officeDocument/2006/customXml" ds:itemID="{7EAA0E45-2D37-4268-A4DF-905C4C25D82B}">
  <ds:schemaRefs/>
</ds:datastoreItem>
</file>

<file path=customXml/itemProps4.xml><?xml version="1.0" encoding="utf-8"?>
<ds:datastoreItem xmlns:ds="http://schemas.openxmlformats.org/officeDocument/2006/customXml" ds:itemID="{7AE70227-D4FD-4EDD-AC77-80E28F2F8CE6}">
  <ds:schemaRefs/>
</ds:datastoreItem>
</file>

<file path=customXml/itemProps5.xml><?xml version="1.0" encoding="utf-8"?>
<ds:datastoreItem xmlns:ds="http://schemas.openxmlformats.org/officeDocument/2006/customXml" ds:itemID="{13AD5C06-E290-4F0E-B797-0DC152D1504F}">
  <ds:schemaRefs/>
</ds:datastoreItem>
</file>

<file path=customXml/itemProps6.xml><?xml version="1.0" encoding="utf-8"?>
<ds:datastoreItem xmlns:ds="http://schemas.openxmlformats.org/officeDocument/2006/customXml" ds:itemID="{15EA73F8-A928-42D9-8E84-F41618DC0310}">
  <ds:schemaRefs/>
</ds:datastoreItem>
</file>

<file path=customXml/itemProps7.xml><?xml version="1.0" encoding="utf-8"?>
<ds:datastoreItem xmlns:ds="http://schemas.openxmlformats.org/officeDocument/2006/customXml" ds:itemID="{245787D4-193F-4218-B179-8EB5CE6C1CF9}">
  <ds:schemaRefs/>
</ds:datastoreItem>
</file>

<file path=customXml/itemProps8.xml><?xml version="1.0" encoding="utf-8"?>
<ds:datastoreItem xmlns:ds="http://schemas.openxmlformats.org/officeDocument/2006/customXml" ds:itemID="{6948E990-61DC-4FC7-9E2F-0EDB248EFBB5}">
  <ds:schemaRefs/>
</ds:datastoreItem>
</file>

<file path=customXml/itemProps9.xml><?xml version="1.0" encoding="utf-8"?>
<ds:datastoreItem xmlns:ds="http://schemas.openxmlformats.org/officeDocument/2006/customXml" ds:itemID="{1E6E8204-5161-449E-8954-A6D5CA511C1D}">
  <ds:schemaRefs/>
</ds:datastoreItem>
</file>

<file path=docProps/app.xml><?xml version="1.0" encoding="utf-8"?>
<Properties xmlns="http://schemas.openxmlformats.org/officeDocument/2006/extended-properties" xmlns:vt="http://schemas.openxmlformats.org/officeDocument/2006/docPropsVTypes">
  <Template>Normal</Template>
  <Pages>23</Pages>
  <Words>1440</Words>
  <Characters>8208</Characters>
  <Lines>68</Lines>
  <Paragraphs>19</Paragraphs>
  <TotalTime>3</TotalTime>
  <ScaleCrop>false</ScaleCrop>
  <LinksUpToDate>false</LinksUpToDate>
  <CharactersWithSpaces>9629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2023-03-13T11:07:00Z</dcterms:created>
  <dc:creator>Administrator</dc:creator>
  <cp:lastModifiedBy>Administrator</cp:lastModifiedBy>
  <dcterms:modified xsi:type="dcterms:W3CDTF">2024-01-10T09:50:25Z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6383308182EA451E9FBFB06417499A1E</vt:lpwstr>
  </property>
</Properties>
</file>