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widowControl/>
        <w:spacing w:line="1200" w:lineRule="exact"/>
        <w:jc w:val="center"/>
        <w:rPr>
          <w:rFonts w:hAnsi="宋体" w:asciiTheme="minorEastAsia" w:eastAsiaTheme="minorEastAsia"/>
          <w:color w:val="000000" w:themeColor="text1"/>
          <w:sz w:val="96"/>
          <w:szCs w:val="96"/>
        </w:rPr>
      </w:pPr>
    </w:p>
    <w:p>
      <w:pPr>
        <w:widowControl/>
        <w:spacing w:line="1200" w:lineRule="exact"/>
        <w:jc w:val="center"/>
        <w:rPr>
          <w:rFonts w:hAnsi="宋体" w:asciiTheme="minorEastAsia" w:eastAsiaTheme="minorEastAsia"/>
          <w:color w:val="000000" w:themeColor="text1"/>
          <w:sz w:val="96"/>
          <w:szCs w:val="96"/>
        </w:rPr>
      </w:pPr>
    </w:p>
    <w:p>
      <w:pPr>
        <w:widowControl/>
        <w:spacing w:line="1200" w:lineRule="exact"/>
        <w:jc w:val="center"/>
        <w:rPr>
          <w:color w:val="000000" w:themeColor="text1"/>
          <w:sz w:val="96"/>
          <w:szCs w:val="96"/>
        </w:rPr>
      </w:pPr>
      <w:r>
        <w:rPr>
          <w:sz w:val="84"/>
          <w:szCs w:val="84"/>
        </w:rPr>
        <w:t>201</w:t>
      </w:r>
      <w:r>
        <w:rPr>
          <w:rFonts w:hint="eastAsia"/>
          <w:sz w:val="84"/>
          <w:szCs w:val="84"/>
        </w:rPr>
        <w:t>8</w:t>
      </w:r>
      <w:r>
        <w:rPr>
          <w:sz w:val="84"/>
          <w:szCs w:val="84"/>
        </w:rPr>
        <w:t>年度部门决算公开</w:t>
      </w:r>
    </w:p>
    <w:p>
      <w:pPr>
        <w:widowControl/>
        <w:jc w:val="center"/>
        <w:rPr>
          <w:rFonts w:hAnsi="宋体" w:asciiTheme="minorEastAsia" w:eastAsiaTheme="minorEastAsia"/>
          <w:color w:val="002060"/>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b/>
          <w:sz w:val="44"/>
          <w:szCs w:val="44"/>
        </w:rPr>
        <w:sectPr>
          <w:pgSz w:w="11906" w:h="16838"/>
          <w:pgMar w:top="2098" w:right="1474" w:bottom="1985" w:left="1588" w:header="851" w:footer="992" w:gutter="0"/>
          <w:cols w:space="425" w:num="1"/>
          <w:docGrid w:type="lines" w:linePitch="312" w:charSpace="0"/>
        </w:sectPr>
      </w:pPr>
      <w:r>
        <w:rPr>
          <w:rFonts w:hint="eastAsia"/>
          <w:b/>
          <w:sz w:val="44"/>
          <w:szCs w:val="44"/>
        </w:rPr>
        <w:t>廊坊市广阳区文化体育局</w:t>
      </w:r>
    </w:p>
    <w:p/>
    <w:p/>
    <w:p/>
    <w:p/>
    <w:p/>
    <w:p>
      <w:pPr>
        <w:widowControl/>
        <w:jc w:val="center"/>
        <w:rPr>
          <w:color w:val="000000" w:themeColor="text1"/>
          <w:sz w:val="72"/>
          <w:szCs w:val="72"/>
        </w:rPr>
      </w:pPr>
      <w:r>
        <w:rPr>
          <w:rFonts w:hint="eastAsia" w:hAnsi="宋体" w:asciiTheme="minorEastAsia" w:eastAsiaTheme="minorEastAsia"/>
          <w:color w:val="000000" w:themeColor="text1"/>
          <w:sz w:val="72"/>
          <w:szCs w:val="72"/>
        </w:rPr>
        <w:t>第一部分  部门概况</w:t>
      </w:r>
    </w:p>
    <w:p/>
    <w:p/>
    <w:p/>
    <w:p/>
    <w:p/>
    <w:p/>
    <w:p/>
    <w:p/>
    <w:p/>
    <w:p/>
    <w:p>
      <w:pPr>
        <w:widowControl/>
        <w:spacing w:line="580" w:lineRule="exact"/>
        <w:ind w:firstLine="640" w:firstLineChars="200"/>
        <w:rPr>
          <w:rFonts w:hint="eastAsia" w:ascii="黑体" w:eastAsia="黑体" w:cs="黑体" w:hAnsiTheme="minorHAnsi"/>
          <w:kern w:val="0"/>
          <w:sz w:val="32"/>
          <w:szCs w:val="32"/>
        </w:rPr>
      </w:pPr>
      <w:r>
        <w:rPr>
          <w:rFonts w:ascii="黑体" w:eastAsia="黑体" w:cs="黑体" w:hAnsiTheme="minorHAnsi"/>
          <w:kern w:val="0"/>
          <w:sz w:val="32"/>
          <w:szCs w:val="32"/>
        </w:rPr>
        <w:t>一、部门职责</w:t>
      </w:r>
    </w:p>
    <w:p>
      <w:pPr>
        <w:widowControl/>
        <w:spacing w:line="580" w:lineRule="exact"/>
        <w:ind w:firstLine="600" w:firstLineChars="200"/>
        <w:rPr>
          <w:rFonts w:ascii="黑体" w:eastAsia="黑体" w:cs="黑体" w:hAnsiTheme="minorHAnsi"/>
          <w:b/>
          <w:bCs/>
          <w:kern w:val="0"/>
          <w:sz w:val="32"/>
          <w:szCs w:val="32"/>
        </w:rPr>
      </w:pPr>
      <w:r>
        <w:rPr>
          <w:rFonts w:hint="eastAsia" w:ascii="宋体" w:hAnsi="宋体" w:cs="宋体"/>
          <w:color w:val="000000"/>
          <w:kern w:val="0"/>
          <w:sz w:val="30"/>
          <w:szCs w:val="30"/>
        </w:rPr>
        <w:t>廊坊市广阳区文化体育局是主管全区文化、新闻出版、体育、旅游工作的区政府直属事业机构。主要职责：</w:t>
      </w:r>
      <w:r>
        <w:rPr>
          <w:rFonts w:hint="eastAsia" w:ascii="宋体" w:hAnsi="宋体" w:cs="宋体"/>
          <w:color w:val="000000"/>
          <w:kern w:val="0"/>
          <w:sz w:val="30"/>
          <w:szCs w:val="30"/>
        </w:rPr>
        <w:br w:type="textWrapping"/>
      </w:r>
      <w:r>
        <w:rPr>
          <w:rFonts w:hint="eastAsia" w:ascii="宋体" w:hAnsi="宋体" w:cs="宋体"/>
          <w:color w:val="000000"/>
          <w:kern w:val="0"/>
          <w:sz w:val="30"/>
          <w:szCs w:val="30"/>
        </w:rPr>
        <w:t xml:space="preserve">    1、贯彻执行国家、省、市关于文化、新闻出版、体育、旅游工作的方针、政策和法规；研究拟定全区文化、新闻出版、体育、旅游工作方针、政策和措施；编制并监督实施全区文化、新闻出版、体育、旅游事业中长期发展规划和年度执行计划。</w:t>
      </w:r>
      <w:r>
        <w:rPr>
          <w:rFonts w:hint="eastAsia" w:ascii="宋体" w:hAnsi="宋体" w:cs="宋体"/>
          <w:color w:val="000000"/>
          <w:kern w:val="0"/>
          <w:sz w:val="30"/>
          <w:szCs w:val="30"/>
        </w:rPr>
        <w:br w:type="textWrapping"/>
      </w:r>
      <w:r>
        <w:rPr>
          <w:rFonts w:hint="eastAsia" w:ascii="宋体" w:hAnsi="宋体" w:cs="宋体"/>
          <w:color w:val="000000"/>
          <w:kern w:val="0"/>
          <w:sz w:val="30"/>
          <w:szCs w:val="30"/>
        </w:rPr>
        <w:t xml:space="preserve">    2、综合管理全区社会文化事业，指导各类社会文化事业的建设与发展，归口管理全区性重大文化活动，组织开展文明健康、丰富多彩的群众文化艺术活动，巩固和完善全区城乡文化阵地。</w:t>
      </w:r>
      <w:r>
        <w:rPr>
          <w:rFonts w:hint="eastAsia" w:ascii="宋体" w:hAnsi="宋体" w:cs="宋体"/>
          <w:color w:val="000000"/>
          <w:kern w:val="0"/>
          <w:sz w:val="30"/>
          <w:szCs w:val="30"/>
        </w:rPr>
        <w:br w:type="textWrapping"/>
      </w:r>
      <w:r>
        <w:rPr>
          <w:rFonts w:hint="eastAsia" w:ascii="宋体" w:hAnsi="宋体" w:cs="宋体"/>
          <w:color w:val="000000"/>
          <w:kern w:val="0"/>
          <w:sz w:val="30"/>
          <w:szCs w:val="30"/>
        </w:rPr>
        <w:t xml:space="preserve">    3、指导和推动全区文化、艺术的研究、辅导及创作；抓好电影发行放映工作；宣传贯彻国家文物管理法规，健全文保网络；搞好图书馆建设，推进图书文献资源的开发利用。</w:t>
      </w:r>
      <w:r>
        <w:rPr>
          <w:rFonts w:hint="eastAsia" w:ascii="宋体" w:hAnsi="宋体" w:cs="宋体"/>
          <w:color w:val="000000"/>
          <w:kern w:val="0"/>
          <w:sz w:val="30"/>
          <w:szCs w:val="30"/>
        </w:rPr>
        <w:br w:type="textWrapping"/>
      </w:r>
      <w:r>
        <w:rPr>
          <w:rFonts w:hint="eastAsia" w:ascii="宋体" w:hAnsi="宋体" w:cs="宋体"/>
          <w:color w:val="000000"/>
          <w:kern w:val="0"/>
          <w:sz w:val="30"/>
          <w:szCs w:val="30"/>
        </w:rPr>
        <w:t xml:space="preserve">    4、推进全民健身计划，指导和配合各个部门、各行业、各社会团体开展群众性体育活动，实施国家体育锻炼标准，开展国民体质监测。</w:t>
      </w:r>
      <w:r>
        <w:rPr>
          <w:rFonts w:hint="eastAsia" w:ascii="宋体" w:hAnsi="宋体" w:cs="宋体"/>
          <w:color w:val="000000"/>
          <w:kern w:val="0"/>
          <w:sz w:val="30"/>
          <w:szCs w:val="30"/>
        </w:rPr>
        <w:br w:type="textWrapping"/>
      </w:r>
      <w:r>
        <w:rPr>
          <w:rFonts w:hint="eastAsia" w:ascii="宋体" w:hAnsi="宋体" w:cs="宋体"/>
          <w:color w:val="000000"/>
          <w:kern w:val="0"/>
          <w:sz w:val="30"/>
          <w:szCs w:val="30"/>
        </w:rPr>
        <w:t xml:space="preserve">    5、统筹规划全区竞技体育发展，研究平衡全区体育竞赛、竞技运动项目的设置与重点布局，组织、参加和承办各类体育竞赛。</w:t>
      </w:r>
      <w:r>
        <w:rPr>
          <w:rFonts w:hint="eastAsia" w:ascii="宋体" w:hAnsi="宋体" w:cs="宋体"/>
          <w:color w:val="000000"/>
          <w:kern w:val="0"/>
          <w:sz w:val="30"/>
          <w:szCs w:val="30"/>
        </w:rPr>
        <w:br w:type="textWrapping"/>
      </w:r>
      <w:r>
        <w:rPr>
          <w:rFonts w:hint="eastAsia" w:ascii="宋体" w:hAnsi="宋体" w:cs="宋体"/>
          <w:color w:val="000000"/>
          <w:kern w:val="0"/>
          <w:sz w:val="30"/>
          <w:szCs w:val="30"/>
        </w:rPr>
        <w:t xml:space="preserve">    6、研究拟定文化、新闻出版、体育、旅游经济政策，宏观调控、协调发展文化、新闻出版、体育、旅游产业，规划、指导文化体育旅游设施建设，审核、管理全区文艺、体育类社团。</w:t>
      </w:r>
      <w:r>
        <w:rPr>
          <w:rFonts w:hint="eastAsia" w:ascii="宋体" w:hAnsi="宋体" w:cs="宋体"/>
          <w:color w:val="000000"/>
          <w:kern w:val="0"/>
          <w:sz w:val="30"/>
          <w:szCs w:val="30"/>
        </w:rPr>
        <w:br w:type="textWrapping"/>
      </w:r>
      <w:r>
        <w:rPr>
          <w:rFonts w:hint="eastAsia" w:ascii="宋体" w:hAnsi="宋体" w:cs="宋体"/>
          <w:color w:val="000000"/>
          <w:kern w:val="0"/>
          <w:sz w:val="30"/>
          <w:szCs w:val="30"/>
        </w:rPr>
        <w:t xml:space="preserve">    7、归口管理全区文化市场、新闻出版市场和体育市场，制定市场发展规划，研究市场发展态势，执行各类市场稽查工作，落实中央、省、市部署的“扫黄打非”工作任务。</w:t>
      </w:r>
      <w:r>
        <w:rPr>
          <w:rFonts w:hint="eastAsia" w:ascii="宋体" w:hAnsi="宋体" w:cs="宋体"/>
          <w:color w:val="000000"/>
          <w:kern w:val="0"/>
          <w:sz w:val="30"/>
          <w:szCs w:val="30"/>
        </w:rPr>
        <w:br w:type="textWrapping"/>
      </w:r>
      <w:r>
        <w:rPr>
          <w:rFonts w:hint="eastAsia" w:ascii="宋体" w:hAnsi="宋体" w:cs="宋体"/>
          <w:color w:val="000000"/>
          <w:kern w:val="0"/>
          <w:sz w:val="30"/>
          <w:szCs w:val="30"/>
        </w:rPr>
        <w:t xml:space="preserve">    8、管理全区文化娱乐行业、互联网上网服务行业、音像行业、演出市场及其它文化经营活动；管理全区印刷业和出版物发行业，依法管理版权工作，实施新闻出版市场稽查；管理全区体育及旅游经营活动。</w:t>
      </w:r>
      <w:r>
        <w:rPr>
          <w:rFonts w:hint="eastAsia" w:ascii="宋体" w:hAnsi="宋体" w:cs="宋体"/>
          <w:color w:val="000000"/>
          <w:kern w:val="0"/>
          <w:sz w:val="30"/>
          <w:szCs w:val="30"/>
        </w:rPr>
        <w:br w:type="textWrapping"/>
      </w:r>
      <w:r>
        <w:rPr>
          <w:rFonts w:hint="eastAsia" w:ascii="宋体" w:hAnsi="宋体" w:cs="宋体"/>
          <w:color w:val="000000"/>
          <w:kern w:val="0"/>
          <w:sz w:val="30"/>
          <w:szCs w:val="30"/>
        </w:rPr>
        <w:t xml:space="preserve">    9、配合市旅游局对全区经营旅游业务的旅游区（点）、企事业单位及从业人员实施行业管理；指导旅游行业精神文明建设和创建优秀旅游城市工作。</w:t>
      </w:r>
      <w:r>
        <w:rPr>
          <w:rFonts w:hint="eastAsia" w:ascii="宋体" w:hAnsi="宋体" w:cs="宋体"/>
          <w:color w:val="000000"/>
          <w:kern w:val="0"/>
          <w:sz w:val="30"/>
          <w:szCs w:val="30"/>
        </w:rPr>
        <w:br w:type="textWrapping"/>
      </w:r>
      <w:r>
        <w:rPr>
          <w:rFonts w:hint="eastAsia" w:ascii="宋体" w:hAnsi="宋体" w:cs="宋体"/>
          <w:color w:val="000000"/>
          <w:kern w:val="0"/>
          <w:sz w:val="30"/>
          <w:szCs w:val="30"/>
        </w:rPr>
        <w:t xml:space="preserve">    10、组织全区旅游资源普查，指导协调旅游资源开发、利用、保护工作；指导旅游招商引资工作；组织指导旅游业统计工作；制定全区旅游行业人才教育培训计划，指导全区旅游行业岗位培训及旅游教育工作；指导实施旅游从业人员的职业资格标准和等级标准。</w:t>
      </w:r>
      <w:r>
        <w:rPr>
          <w:rFonts w:hint="eastAsia" w:ascii="宋体" w:hAnsi="宋体" w:cs="宋体"/>
          <w:color w:val="000000"/>
          <w:kern w:val="0"/>
          <w:sz w:val="30"/>
          <w:szCs w:val="30"/>
        </w:rPr>
        <w:br w:type="textWrapping"/>
      </w:r>
      <w:r>
        <w:rPr>
          <w:rFonts w:hint="eastAsia" w:ascii="宋体" w:hAnsi="宋体" w:cs="宋体"/>
          <w:color w:val="000000"/>
          <w:kern w:val="0"/>
          <w:sz w:val="30"/>
          <w:szCs w:val="30"/>
        </w:rPr>
        <w:t xml:space="preserve">    11、承办区委、区政府交办的其他事项。</w:t>
      </w:r>
      <w:r>
        <w:rPr>
          <w:rFonts w:hint="eastAsia" w:ascii="宋体" w:hAnsi="宋体" w:cs="宋体"/>
          <w:color w:val="000000"/>
          <w:kern w:val="0"/>
          <w:sz w:val="30"/>
          <w:szCs w:val="30"/>
        </w:rPr>
        <w:br w:type="textWrapping"/>
      </w:r>
      <w:r>
        <w:rPr>
          <w:rFonts w:hint="eastAsia" w:ascii="黑体" w:eastAsia="黑体" w:cs="黑体" w:hAnsiTheme="minorHAnsi"/>
          <w:kern w:val="0"/>
          <w:sz w:val="32"/>
          <w:szCs w:val="32"/>
        </w:rPr>
        <w:t xml:space="preserve">    二、机构设置</w:t>
      </w:r>
    </w:p>
    <w:p>
      <w:pPr>
        <w:spacing w:after="0" w:line="560" w:lineRule="exact"/>
        <w:ind w:firstLine="640" w:firstLineChars="200"/>
        <w:rPr>
          <w:rFonts w:ascii="仿宋_GB2312" w:eastAsia="仿宋_GB2312" w:cs="ArialUnicodeMS" w:hAnsiTheme="minorHAnsi"/>
          <w:kern w:val="0"/>
          <w:sz w:val="32"/>
          <w:szCs w:val="32"/>
        </w:rPr>
      </w:pPr>
      <w:r>
        <w:rPr>
          <w:rFonts w:hint="eastAsia" w:ascii="仿宋_GB2312" w:eastAsia="仿宋_GB2312" w:cs="ArialUnicodeMS" w:hAnsiTheme="minorHAnsi"/>
          <w:kern w:val="0"/>
          <w:sz w:val="32"/>
          <w:szCs w:val="32"/>
        </w:rPr>
        <w:t>从决算编报单位构成看，纳入2018 年度本部门决算汇编范围的独立核算单位（以下简称“单位”）共2个，具体情况如下：</w:t>
      </w:r>
    </w:p>
    <w:tbl>
      <w:tblPr>
        <w:tblStyle w:val="13"/>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880"/>
        <w:gridCol w:w="2895"/>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1" w:hRule="atLeast"/>
          <w:jc w:val="center"/>
        </w:trPr>
        <w:tc>
          <w:tcPr>
            <w:tcW w:w="98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序号</w:t>
            </w:r>
          </w:p>
        </w:tc>
        <w:tc>
          <w:tcPr>
            <w:tcW w:w="3880"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单位名称</w:t>
            </w:r>
          </w:p>
        </w:tc>
        <w:tc>
          <w:tcPr>
            <w:tcW w:w="289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单位基本性质</w:t>
            </w:r>
          </w:p>
        </w:tc>
        <w:tc>
          <w:tcPr>
            <w:tcW w:w="1820"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jc w:val="center"/>
        </w:trPr>
        <w:tc>
          <w:tcPr>
            <w:tcW w:w="985" w:type="dxa"/>
          </w:tcPr>
          <w:p>
            <w:pPr>
              <w:spacing w:after="0" w:line="560" w:lineRule="exact"/>
              <w:jc w:val="center"/>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1</w:t>
            </w:r>
          </w:p>
        </w:tc>
        <w:tc>
          <w:tcPr>
            <w:tcW w:w="3880" w:type="dxa"/>
            <w:vAlign w:val="center"/>
          </w:tcPr>
          <w:p>
            <w:pPr>
              <w:widowControl/>
              <w:spacing w:line="225" w:lineRule="atLeast"/>
              <w:jc w:val="center"/>
              <w:rPr>
                <w:rFonts w:ascii="仿宋_GB2312" w:eastAsia="仿宋_GB2312" w:cs="ArialUnicodeMS" w:hAnsiTheme="minorHAnsi"/>
                <w:kern w:val="0"/>
                <w:sz w:val="28"/>
                <w:szCs w:val="28"/>
              </w:rPr>
            </w:pPr>
            <w:r>
              <w:rPr>
                <w:rFonts w:hint="eastAsia" w:ascii="仿宋" w:hAnsi="仿宋" w:eastAsia="仿宋" w:cs="仿宋"/>
                <w:kern w:val="0"/>
                <w:sz w:val="32"/>
                <w:szCs w:val="32"/>
              </w:rPr>
              <w:t>廊坊市广阳区</w:t>
            </w:r>
            <w:bookmarkStart w:id="0" w:name="_GoBack"/>
            <w:r>
              <w:rPr>
                <w:rFonts w:hint="eastAsia" w:ascii="仿宋" w:hAnsi="仿宋" w:eastAsia="仿宋" w:cs="仿宋"/>
                <w:kern w:val="0"/>
                <w:sz w:val="32"/>
                <w:szCs w:val="32"/>
              </w:rPr>
              <w:t>文化体育局</w:t>
            </w:r>
            <w:bookmarkEnd w:id="0"/>
          </w:p>
        </w:tc>
        <w:tc>
          <w:tcPr>
            <w:tcW w:w="2895" w:type="dxa"/>
            <w:vAlign w:val="center"/>
          </w:tcPr>
          <w:p>
            <w:pPr>
              <w:widowControl/>
              <w:spacing w:line="225" w:lineRule="atLeast"/>
              <w:jc w:val="center"/>
              <w:rPr>
                <w:rFonts w:ascii="仿宋_GB2312" w:eastAsia="仿宋_GB2312" w:cs="ArialUnicodeMS" w:hAnsiTheme="minorHAnsi"/>
                <w:kern w:val="0"/>
                <w:sz w:val="28"/>
                <w:szCs w:val="28"/>
              </w:rPr>
            </w:pPr>
            <w:r>
              <w:rPr>
                <w:rFonts w:hint="eastAsia" w:ascii="仿宋" w:hAnsi="仿宋" w:eastAsia="仿宋" w:cs="仿宋"/>
                <w:kern w:val="0"/>
                <w:sz w:val="32"/>
                <w:szCs w:val="32"/>
              </w:rPr>
              <w:t>参公事业单位</w:t>
            </w:r>
          </w:p>
        </w:tc>
        <w:tc>
          <w:tcPr>
            <w:tcW w:w="1820" w:type="dxa"/>
            <w:vAlign w:val="center"/>
          </w:tcPr>
          <w:p>
            <w:pPr>
              <w:widowControl/>
              <w:spacing w:line="225" w:lineRule="atLeast"/>
              <w:jc w:val="center"/>
              <w:rPr>
                <w:rFonts w:ascii="仿宋_GB2312" w:eastAsia="仿宋_GB2312" w:cs="ArialUnicodeMS" w:hAnsiTheme="minorHAnsi"/>
                <w:kern w:val="0"/>
                <w:sz w:val="28"/>
                <w:szCs w:val="28"/>
              </w:rPr>
            </w:pPr>
            <w:r>
              <w:rPr>
                <w:rFonts w:hint="eastAsia" w:ascii="仿宋" w:hAnsi="仿宋" w:eastAsia="仿宋" w:cs="仿宋"/>
                <w:kern w:val="0"/>
                <w:sz w:val="32"/>
                <w:szCs w:val="32"/>
              </w:rPr>
              <w:t>财务拨款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after="0" w:line="560" w:lineRule="exact"/>
              <w:jc w:val="center"/>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2</w:t>
            </w:r>
          </w:p>
        </w:tc>
        <w:tc>
          <w:tcPr>
            <w:tcW w:w="3880" w:type="dxa"/>
            <w:vAlign w:val="center"/>
          </w:tcPr>
          <w:p>
            <w:pPr>
              <w:widowControl/>
              <w:spacing w:line="225" w:lineRule="atLeast"/>
              <w:jc w:val="center"/>
              <w:rPr>
                <w:rFonts w:ascii="仿宋_GB2312" w:eastAsia="仿宋_GB2312" w:cs="ArialUnicodeMS" w:hAnsiTheme="minorHAnsi"/>
                <w:kern w:val="0"/>
                <w:sz w:val="28"/>
                <w:szCs w:val="28"/>
              </w:rPr>
            </w:pPr>
            <w:r>
              <w:rPr>
                <w:rFonts w:hint="eastAsia" w:ascii="仿宋" w:hAnsi="仿宋" w:eastAsia="仿宋" w:cs="仿宋"/>
                <w:kern w:val="0"/>
                <w:sz w:val="32"/>
                <w:szCs w:val="32"/>
              </w:rPr>
              <w:t>廊坊市广阳区群众艺术馆</w:t>
            </w:r>
          </w:p>
        </w:tc>
        <w:tc>
          <w:tcPr>
            <w:tcW w:w="2895" w:type="dxa"/>
            <w:vAlign w:val="center"/>
          </w:tcPr>
          <w:p>
            <w:pPr>
              <w:widowControl/>
              <w:spacing w:line="225" w:lineRule="atLeast"/>
              <w:jc w:val="center"/>
              <w:rPr>
                <w:rFonts w:ascii="仿宋_GB2312" w:eastAsia="仿宋_GB2312" w:cs="ArialUnicodeMS" w:hAnsiTheme="minorHAnsi"/>
                <w:kern w:val="0"/>
                <w:sz w:val="28"/>
                <w:szCs w:val="28"/>
              </w:rPr>
            </w:pPr>
            <w:r>
              <w:rPr>
                <w:rFonts w:hint="eastAsia" w:ascii="仿宋" w:hAnsi="仿宋" w:eastAsia="仿宋" w:cs="仿宋"/>
                <w:kern w:val="0"/>
                <w:sz w:val="32"/>
                <w:szCs w:val="32"/>
              </w:rPr>
              <w:t>财政补助事业单位</w:t>
            </w:r>
          </w:p>
        </w:tc>
        <w:tc>
          <w:tcPr>
            <w:tcW w:w="1820" w:type="dxa"/>
            <w:vAlign w:val="center"/>
          </w:tcPr>
          <w:p>
            <w:pPr>
              <w:widowControl/>
              <w:spacing w:line="225" w:lineRule="atLeast"/>
              <w:jc w:val="center"/>
              <w:rPr>
                <w:rFonts w:ascii="仿宋_GB2312" w:eastAsia="仿宋_GB2312" w:cs="ArialUnicodeMS" w:hAnsiTheme="minorHAnsi"/>
                <w:kern w:val="0"/>
                <w:sz w:val="28"/>
                <w:szCs w:val="28"/>
              </w:rPr>
            </w:pPr>
            <w:r>
              <w:rPr>
                <w:rFonts w:hint="eastAsia" w:ascii="仿宋" w:hAnsi="仿宋" w:eastAsia="仿宋" w:cs="仿宋"/>
                <w:kern w:val="0"/>
                <w:sz w:val="32"/>
                <w:szCs w:val="32"/>
              </w:rPr>
              <w:t>财务拨款</w:t>
            </w:r>
          </w:p>
        </w:tc>
      </w:tr>
    </w:tbl>
    <w:p>
      <w:pPr>
        <w:widowControl/>
        <w:spacing w:line="560" w:lineRule="exact"/>
        <w:jc w:val="center"/>
        <w:rPr>
          <w:rFonts w:ascii="黑体" w:eastAsia="黑体" w:cs="MS-UIGothic,Bold" w:hAnsiTheme="minorHAnsi"/>
          <w:bCs/>
          <w:kern w:val="0"/>
          <w:sz w:val="52"/>
          <w:szCs w:val="52"/>
        </w:rPr>
        <w:sectPr>
          <w:pgSz w:w="11906" w:h="16838"/>
          <w:pgMar w:top="2098" w:right="1474" w:bottom="1984" w:left="1588" w:header="851" w:footer="992" w:gutter="0"/>
          <w:cols w:space="0" w:num="1"/>
          <w:docGrid w:type="lines" w:linePitch="312" w:charSpace="0"/>
        </w:sectPr>
      </w:pPr>
    </w:p>
    <w:p>
      <w:pPr>
        <w:widowControl/>
        <w:spacing w:line="1200" w:lineRule="exact"/>
        <w:jc w:val="center"/>
        <w:rPr>
          <w:rFonts w:hAnsi="宋体" w:asciiTheme="minorEastAsia" w:eastAsiaTheme="minorEastAsia"/>
          <w:color w:val="000000" w:themeColor="text1"/>
          <w:sz w:val="72"/>
          <w:szCs w:val="96"/>
        </w:rPr>
      </w:pPr>
    </w:p>
    <w:p>
      <w:pPr>
        <w:widowControl/>
        <w:spacing w:line="1200" w:lineRule="exact"/>
        <w:jc w:val="center"/>
        <w:rPr>
          <w:rFonts w:hAnsi="宋体" w:asciiTheme="minorEastAsia" w:eastAsiaTheme="minorEastAsia"/>
          <w:color w:val="000000" w:themeColor="text1"/>
          <w:sz w:val="72"/>
          <w:szCs w:val="96"/>
        </w:rPr>
      </w:pPr>
    </w:p>
    <w:p>
      <w:pPr>
        <w:widowControl/>
        <w:spacing w:line="1200" w:lineRule="exact"/>
        <w:jc w:val="center"/>
        <w:rPr>
          <w:rFonts w:hAnsi="宋体" w:asciiTheme="minorEastAsia" w:eastAsiaTheme="minorEastAsia"/>
          <w:color w:val="000000" w:themeColor="text1"/>
          <w:sz w:val="72"/>
          <w:szCs w:val="96"/>
        </w:rPr>
      </w:pPr>
    </w:p>
    <w:p>
      <w:pPr>
        <w:widowControl/>
        <w:spacing w:line="1200" w:lineRule="exact"/>
        <w:jc w:val="center"/>
        <w:rPr>
          <w:rFonts w:hAnsi="宋体" w:asciiTheme="minorEastAsia" w:eastAsiaTheme="minorEastAsia"/>
          <w:color w:val="000000" w:themeColor="text1"/>
          <w:sz w:val="72"/>
          <w:szCs w:val="96"/>
        </w:rPr>
      </w:pPr>
      <w:r>
        <w:rPr>
          <w:rFonts w:hint="eastAsia" w:hAnsi="宋体" w:asciiTheme="minorEastAsia" w:eastAsiaTheme="minorEastAsia"/>
          <w:color w:val="000000" w:themeColor="text1"/>
          <w:sz w:val="72"/>
          <w:szCs w:val="96"/>
        </w:rPr>
        <w:t>第二部分</w:t>
      </w:r>
    </w:p>
    <w:p>
      <w:pPr>
        <w:widowControl/>
        <w:spacing w:line="1200" w:lineRule="exact"/>
        <w:jc w:val="center"/>
        <w:rPr>
          <w:color w:val="000000" w:themeColor="text1"/>
          <w:sz w:val="72"/>
          <w:szCs w:val="96"/>
        </w:rPr>
      </w:pPr>
      <w:r>
        <w:rPr>
          <w:rFonts w:hint="eastAsia" w:hAnsi="宋体" w:asciiTheme="minorEastAsia" w:eastAsiaTheme="minorEastAsia"/>
          <w:color w:val="000000" w:themeColor="text1"/>
          <w:sz w:val="72"/>
          <w:szCs w:val="96"/>
        </w:rPr>
        <w:t>2018年度部门决算报表</w:t>
      </w:r>
    </w:p>
    <w:p>
      <w:pPr>
        <w:widowControl/>
        <w:spacing w:line="560" w:lineRule="exact"/>
        <w:jc w:val="center"/>
        <w:rPr>
          <w:rFonts w:ascii="黑体" w:eastAsia="黑体" w:cs="MS-UIGothic,Bold" w:hAnsiTheme="minorHAnsi"/>
          <w:bCs/>
          <w:kern w:val="0"/>
          <w:sz w:val="52"/>
          <w:szCs w:val="52"/>
        </w:rPr>
      </w:pPr>
    </w:p>
    <w:p>
      <w:pPr>
        <w:widowControl/>
        <w:spacing w:line="560" w:lineRule="exact"/>
        <w:jc w:val="center"/>
        <w:rPr>
          <w:rFonts w:ascii="黑体" w:eastAsia="黑体" w:cs="MS-UIGothic,Bold" w:hAnsiTheme="minorHAnsi"/>
          <w:bCs/>
          <w:kern w:val="0"/>
          <w:sz w:val="52"/>
          <w:szCs w:val="52"/>
        </w:rPr>
      </w:pPr>
    </w:p>
    <w:p>
      <w:pPr>
        <w:widowControl/>
        <w:spacing w:line="560" w:lineRule="exact"/>
        <w:jc w:val="center"/>
        <w:rPr>
          <w:rFonts w:ascii="黑体" w:eastAsia="黑体" w:cs="MS-UIGothic,Bold" w:hAnsiTheme="minorHAnsi"/>
          <w:bCs/>
          <w:kern w:val="0"/>
          <w:sz w:val="52"/>
          <w:szCs w:val="52"/>
        </w:rPr>
      </w:pPr>
    </w:p>
    <w:p>
      <w:pPr>
        <w:widowControl/>
        <w:spacing w:line="560" w:lineRule="exact"/>
        <w:jc w:val="center"/>
        <w:rPr>
          <w:rFonts w:ascii="黑体" w:eastAsia="黑体" w:cs="MS-UIGothic,Bold" w:hAnsiTheme="minorHAnsi"/>
          <w:bCs/>
          <w:kern w:val="0"/>
          <w:sz w:val="52"/>
          <w:szCs w:val="52"/>
        </w:rPr>
      </w:pPr>
    </w:p>
    <w:p>
      <w:pPr>
        <w:widowControl/>
        <w:spacing w:line="560" w:lineRule="exact"/>
        <w:jc w:val="center"/>
        <w:rPr>
          <w:rFonts w:ascii="黑体" w:eastAsia="黑体" w:cs="MS-UIGothic,Bold" w:hAnsiTheme="minorHAnsi"/>
          <w:bCs/>
          <w:kern w:val="0"/>
          <w:sz w:val="52"/>
          <w:szCs w:val="52"/>
        </w:rPr>
      </w:pPr>
    </w:p>
    <w:p>
      <w:pPr>
        <w:widowControl/>
        <w:spacing w:line="560" w:lineRule="exact"/>
        <w:jc w:val="center"/>
        <w:rPr>
          <w:rFonts w:ascii="黑体" w:eastAsia="黑体" w:cs="MS-UIGothic,Bold" w:hAnsiTheme="minorHAnsi"/>
          <w:bCs/>
          <w:kern w:val="0"/>
          <w:sz w:val="52"/>
          <w:szCs w:val="52"/>
        </w:rPr>
      </w:pPr>
    </w:p>
    <w:p>
      <w:pPr>
        <w:widowControl/>
        <w:spacing w:line="560" w:lineRule="exact"/>
        <w:jc w:val="center"/>
        <w:rPr>
          <w:rFonts w:ascii="黑体" w:eastAsia="黑体" w:cs="MS-UIGothic,Bold" w:hAnsiTheme="minorHAnsi"/>
          <w:bCs/>
          <w:kern w:val="0"/>
          <w:sz w:val="52"/>
          <w:szCs w:val="52"/>
        </w:rPr>
      </w:pPr>
    </w:p>
    <w:p>
      <w:pPr>
        <w:widowControl/>
        <w:spacing w:line="560" w:lineRule="exact"/>
        <w:jc w:val="center"/>
        <w:rPr>
          <w:rFonts w:ascii="黑体" w:eastAsia="黑体" w:cs="MS-UIGothic,Bold" w:hAnsiTheme="minorHAnsi"/>
          <w:bCs/>
          <w:kern w:val="0"/>
          <w:sz w:val="52"/>
          <w:szCs w:val="52"/>
        </w:rPr>
      </w:pPr>
    </w:p>
    <w:p>
      <w:pPr>
        <w:widowControl/>
        <w:spacing w:line="580" w:lineRule="exact"/>
        <w:ind w:firstLine="640" w:firstLineChars="200"/>
        <w:rPr>
          <w:rFonts w:eastAsia="仿宋_GB2312"/>
          <w:sz w:val="20"/>
          <w:szCs w:val="32"/>
        </w:rPr>
      </w:pPr>
      <w:r>
        <w:rPr>
          <w:rFonts w:eastAsia="黑体"/>
          <w:sz w:val="32"/>
          <w:szCs w:val="32"/>
        </w:rPr>
        <w:t>第二部分   201</w:t>
      </w:r>
      <w:r>
        <w:rPr>
          <w:rFonts w:hint="eastAsia" w:eastAsia="黑体"/>
          <w:sz w:val="32"/>
          <w:szCs w:val="32"/>
        </w:rPr>
        <w:t>8</w:t>
      </w:r>
      <w:r>
        <w:rPr>
          <w:rFonts w:eastAsia="黑体"/>
          <w:sz w:val="32"/>
          <w:szCs w:val="32"/>
        </w:rPr>
        <w:t>年度部门决算报表</w:t>
      </w:r>
    </w:p>
    <w:p>
      <w:pPr>
        <w:widowControl/>
        <w:spacing w:line="580" w:lineRule="exact"/>
        <w:ind w:left="640" w:firstLine="640" w:firstLineChars="200"/>
        <w:rPr>
          <w:rFonts w:eastAsia="仿宋_GB2312"/>
          <w:sz w:val="32"/>
          <w:szCs w:val="32"/>
        </w:rPr>
      </w:pPr>
      <w:r>
        <w:rPr>
          <w:rFonts w:eastAsia="仿宋_GB2312"/>
          <w:sz w:val="32"/>
          <w:szCs w:val="32"/>
        </w:rPr>
        <w:t>一、收入支出决算总表</w:t>
      </w:r>
    </w:p>
    <w:p>
      <w:pPr>
        <w:widowControl/>
        <w:spacing w:line="580" w:lineRule="exact"/>
        <w:ind w:left="640" w:firstLine="640" w:firstLineChars="200"/>
        <w:rPr>
          <w:rFonts w:eastAsia="仿宋_GB2312"/>
          <w:sz w:val="32"/>
          <w:szCs w:val="32"/>
        </w:rPr>
      </w:pPr>
      <w:r>
        <w:rPr>
          <w:rFonts w:eastAsia="仿宋_GB2312"/>
          <w:sz w:val="32"/>
          <w:szCs w:val="32"/>
        </w:rPr>
        <w:t>二、收入决算表</w:t>
      </w:r>
    </w:p>
    <w:p>
      <w:pPr>
        <w:widowControl/>
        <w:spacing w:line="580" w:lineRule="exact"/>
        <w:ind w:left="640" w:firstLine="640" w:firstLineChars="200"/>
        <w:rPr>
          <w:rFonts w:eastAsia="仿宋_GB2312"/>
          <w:sz w:val="32"/>
          <w:szCs w:val="32"/>
        </w:rPr>
      </w:pPr>
      <w:r>
        <w:rPr>
          <w:rFonts w:eastAsia="仿宋_GB2312"/>
          <w:sz w:val="32"/>
          <w:szCs w:val="32"/>
        </w:rPr>
        <w:t>三、支出决算表</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四、财政拨款收入支出决算总表</w:t>
      </w:r>
    </w:p>
    <w:p>
      <w:pPr>
        <w:widowControl/>
        <w:spacing w:line="580" w:lineRule="exact"/>
        <w:ind w:left="640" w:firstLine="640" w:firstLineChars="200"/>
        <w:rPr>
          <w:rFonts w:eastAsia="仿宋_GB2312"/>
          <w:sz w:val="32"/>
          <w:szCs w:val="32"/>
        </w:rPr>
      </w:pPr>
      <w:r>
        <w:rPr>
          <w:rFonts w:eastAsia="仿宋_GB2312"/>
          <w:sz w:val="32"/>
          <w:szCs w:val="32"/>
        </w:rPr>
        <w:t>五、一般公共预算财政拨款支出决算表</w:t>
      </w:r>
    </w:p>
    <w:p>
      <w:pPr>
        <w:widowControl/>
        <w:spacing w:line="580" w:lineRule="exact"/>
        <w:ind w:left="640" w:firstLine="640" w:firstLineChars="200"/>
        <w:rPr>
          <w:rFonts w:eastAsia="仿宋_GB2312"/>
          <w:sz w:val="32"/>
          <w:szCs w:val="32"/>
        </w:rPr>
      </w:pPr>
      <w:r>
        <w:rPr>
          <w:rFonts w:eastAsia="仿宋_GB2312"/>
          <w:sz w:val="32"/>
          <w:szCs w:val="32"/>
        </w:rPr>
        <w:t>六、一般公共预算财政拨款基本支出决算表</w:t>
      </w:r>
    </w:p>
    <w:p>
      <w:pPr>
        <w:widowControl/>
        <w:spacing w:line="580" w:lineRule="exact"/>
        <w:ind w:left="640" w:firstLine="640" w:firstLineChars="200"/>
        <w:rPr>
          <w:rFonts w:eastAsia="仿宋_GB2312"/>
          <w:sz w:val="32"/>
          <w:szCs w:val="32"/>
        </w:rPr>
      </w:pPr>
      <w:r>
        <w:rPr>
          <w:rFonts w:eastAsia="仿宋_GB2312"/>
          <w:sz w:val="32"/>
          <w:szCs w:val="32"/>
        </w:rPr>
        <w:t>七、</w:t>
      </w:r>
      <w:r>
        <w:rPr>
          <w:rFonts w:hint="eastAsia" w:eastAsia="仿宋_GB2312"/>
          <w:sz w:val="32"/>
          <w:szCs w:val="32"/>
        </w:rPr>
        <w:t>一般公共预算财政拨款</w:t>
      </w:r>
      <w:r>
        <w:rPr>
          <w:rFonts w:eastAsia="仿宋_GB2312"/>
          <w:sz w:val="32"/>
          <w:szCs w:val="32"/>
        </w:rPr>
        <w:t>“三公”经费</w:t>
      </w:r>
      <w:r>
        <w:rPr>
          <w:rFonts w:hint="eastAsia"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八、</w:t>
      </w:r>
      <w:r>
        <w:rPr>
          <w:rFonts w:eastAsia="仿宋_GB2312"/>
          <w:sz w:val="32"/>
          <w:szCs w:val="32"/>
        </w:rPr>
        <w:t>政府性基金预算财政拨款收入支出决算表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九</w:t>
      </w:r>
      <w:r>
        <w:rPr>
          <w:rFonts w:eastAsia="仿宋_GB2312"/>
          <w:sz w:val="32"/>
          <w:szCs w:val="32"/>
        </w:rPr>
        <w:t>、国有资本经营预算</w:t>
      </w:r>
      <w:r>
        <w:rPr>
          <w:rFonts w:hint="eastAsia" w:eastAsia="仿宋_GB2312"/>
          <w:sz w:val="32"/>
          <w:szCs w:val="32"/>
        </w:rPr>
        <w:t>财政拨款</w:t>
      </w:r>
      <w:r>
        <w:rPr>
          <w:rFonts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十</w:t>
      </w:r>
      <w:r>
        <w:rPr>
          <w:rFonts w:eastAsia="仿宋_GB2312"/>
          <w:sz w:val="32"/>
          <w:szCs w:val="32"/>
        </w:rPr>
        <w:t>、政府采购情况表</w:t>
      </w:r>
    </w:p>
    <w:p>
      <w:pPr>
        <w:rPr>
          <w:rFonts w:ascii="宋体" w:hAnsi="宋体" w:cs="ArialUnicodeMS"/>
          <w:color w:val="000000"/>
          <w:kern w:val="0"/>
        </w:rPr>
      </w:pPr>
    </w:p>
    <w:p>
      <w:pPr>
        <w:tabs>
          <w:tab w:val="left" w:pos="1086"/>
        </w:tabs>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r>
        <w:rPr>
          <w:rFonts w:hint="eastAsia"/>
        </w:rPr>
        <w:tab/>
      </w:r>
    </w:p>
    <w:p>
      <w:pPr>
        <w:widowControl/>
        <w:spacing w:line="1200" w:lineRule="exact"/>
        <w:jc w:val="center"/>
        <w:rPr>
          <w:rFonts w:hAnsi="宋体" w:asciiTheme="minorEastAsia" w:eastAsiaTheme="minorEastAsia"/>
          <w:color w:val="000000" w:themeColor="text1"/>
          <w:sz w:val="96"/>
          <w:szCs w:val="96"/>
        </w:rPr>
      </w:pPr>
    </w:p>
    <w:p>
      <w:pPr>
        <w:widowControl/>
        <w:spacing w:line="1200" w:lineRule="exact"/>
        <w:jc w:val="center"/>
        <w:rPr>
          <w:rFonts w:hAnsi="宋体" w:asciiTheme="minorEastAsia" w:eastAsiaTheme="minorEastAsia"/>
          <w:color w:val="000000" w:themeColor="text1"/>
          <w:sz w:val="96"/>
          <w:szCs w:val="96"/>
        </w:rPr>
      </w:pPr>
    </w:p>
    <w:p>
      <w:pPr>
        <w:widowControl/>
        <w:spacing w:line="1200" w:lineRule="exact"/>
        <w:jc w:val="center"/>
        <w:rPr>
          <w:rFonts w:hAnsi="宋体" w:asciiTheme="minorEastAsia" w:eastAsiaTheme="minorEastAsia"/>
          <w:color w:val="000000" w:themeColor="text1"/>
          <w:sz w:val="96"/>
          <w:szCs w:val="96"/>
        </w:rPr>
      </w:pPr>
    </w:p>
    <w:p>
      <w:pPr>
        <w:widowControl/>
        <w:spacing w:line="1200" w:lineRule="exact"/>
        <w:jc w:val="center"/>
        <w:rPr>
          <w:rFonts w:hAnsi="宋体" w:asciiTheme="minorEastAsia" w:eastAsiaTheme="minorEastAsia"/>
          <w:color w:val="000000" w:themeColor="text1"/>
          <w:sz w:val="72"/>
          <w:szCs w:val="72"/>
        </w:rPr>
      </w:pPr>
      <w:r>
        <w:rPr>
          <w:rFonts w:hint="eastAsia" w:hAnsi="宋体" w:asciiTheme="minorEastAsia" w:eastAsiaTheme="minorEastAsia"/>
          <w:color w:val="000000" w:themeColor="text1"/>
          <w:sz w:val="72"/>
          <w:szCs w:val="72"/>
        </w:rPr>
        <w:t>第三部分</w:t>
      </w:r>
    </w:p>
    <w:p>
      <w:pPr>
        <w:widowControl/>
        <w:spacing w:line="1200" w:lineRule="exact"/>
        <w:jc w:val="center"/>
        <w:rPr>
          <w:color w:val="000000" w:themeColor="text1"/>
          <w:sz w:val="72"/>
          <w:szCs w:val="72"/>
        </w:rPr>
      </w:pPr>
      <w:r>
        <w:rPr>
          <w:rFonts w:hint="eastAsia" w:hAnsi="宋体" w:asciiTheme="minorEastAsia" w:eastAsiaTheme="minorEastAsia"/>
          <w:color w:val="000000" w:themeColor="text1"/>
          <w:sz w:val="72"/>
          <w:szCs w:val="72"/>
        </w:rPr>
        <w:t>部门决算情况说明</w:t>
      </w: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p>
    <w:p>
      <w:pPr>
        <w:pStyle w:val="3"/>
        <w:spacing w:before="0" w:after="0" w:line="580" w:lineRule="exact"/>
        <w:ind w:firstLine="640" w:firstLineChars="200"/>
        <w:rPr>
          <w:rFonts w:ascii="黑体" w:eastAsia="黑体"/>
          <w:b w:val="0"/>
          <w:bCs w:val="0"/>
        </w:rPr>
      </w:pPr>
      <w:r>
        <w:rPr>
          <w:rFonts w:hint="eastAsia" w:ascii="黑体" w:eastAsia="黑体"/>
          <w:b w:val="0"/>
          <w:bCs w:val="0"/>
        </w:rPr>
        <w:t>一、收入</w:t>
      </w:r>
      <w:r>
        <w:rPr>
          <w:rFonts w:hint="eastAsia" w:ascii="黑体" w:eastAsia="黑体" w:cs="黑体" w:hAnsiTheme="minorHAnsi"/>
          <w:b w:val="0"/>
          <w:bCs w:val="0"/>
          <w:kern w:val="0"/>
        </w:rPr>
        <w:t>支出</w:t>
      </w:r>
      <w:r>
        <w:rPr>
          <w:rFonts w:hint="eastAsia" w:ascii="黑体" w:eastAsia="黑体"/>
          <w:b w:val="0"/>
          <w:bCs w:val="0"/>
        </w:rPr>
        <w:t>决算总体情况说明</w:t>
      </w:r>
    </w:p>
    <w:p>
      <w:pPr>
        <w:widowControl/>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本部门2018年度收入总计1576.59万元，支出总计1391.53万元。与2017年度决算相比，</w:t>
      </w:r>
      <w:r>
        <w:rPr>
          <w:rFonts w:ascii="仿宋_GB2312" w:eastAsia="仿宋_GB2312" w:cs="DengXian-Regular"/>
          <w:sz w:val="32"/>
          <w:szCs w:val="32"/>
        </w:rPr>
        <w:t>决算收</w:t>
      </w:r>
      <w:r>
        <w:rPr>
          <w:rFonts w:hint="eastAsia" w:ascii="仿宋_GB2312" w:eastAsia="仿宋_GB2312" w:cs="DengXian-Regular"/>
          <w:sz w:val="32"/>
          <w:szCs w:val="32"/>
        </w:rPr>
        <w:t>入</w:t>
      </w:r>
      <w:r>
        <w:rPr>
          <w:rFonts w:ascii="仿宋_GB2312" w:eastAsia="仿宋_GB2312" w:cs="DengXian-Regular"/>
          <w:sz w:val="32"/>
          <w:szCs w:val="32"/>
        </w:rPr>
        <w:t>总计</w:t>
      </w:r>
      <w:r>
        <w:rPr>
          <w:rFonts w:hint="eastAsia" w:ascii="仿宋_GB2312" w:eastAsia="仿宋_GB2312" w:cs="DengXian-Regular"/>
          <w:sz w:val="32"/>
          <w:szCs w:val="32"/>
        </w:rPr>
        <w:t>增加了804.12</w:t>
      </w:r>
      <w:r>
        <w:rPr>
          <w:rFonts w:ascii="仿宋_GB2312" w:eastAsia="仿宋_GB2312" w:cs="DengXian-Regular"/>
          <w:sz w:val="32"/>
          <w:szCs w:val="32"/>
        </w:rPr>
        <w:t>万元，</w:t>
      </w:r>
      <w:r>
        <w:rPr>
          <w:rFonts w:hint="eastAsia" w:ascii="仿宋_GB2312" w:eastAsia="仿宋_GB2312" w:cs="DengXian-Regular"/>
          <w:sz w:val="32"/>
          <w:szCs w:val="32"/>
        </w:rPr>
        <w:t>增加了104.1</w:t>
      </w:r>
      <w:r>
        <w:rPr>
          <w:rFonts w:ascii="仿宋_GB2312" w:eastAsia="仿宋_GB2312" w:cs="DengXian-Regular"/>
          <w:sz w:val="32"/>
          <w:szCs w:val="32"/>
        </w:rPr>
        <w:t>%，主要原因是较上年</w:t>
      </w:r>
      <w:r>
        <w:rPr>
          <w:rFonts w:hint="eastAsia" w:ascii="仿宋_GB2312" w:eastAsia="仿宋_GB2312" w:cs="DengXian-Regular"/>
          <w:sz w:val="32"/>
          <w:szCs w:val="32"/>
        </w:rPr>
        <w:t>增加了行政运行、国家电影事业发展专项、 文化活动、其他文化体育体育与传媒、旅游行业和社会公益事业的彩票公益金</w:t>
      </w:r>
      <w:r>
        <w:rPr>
          <w:rFonts w:ascii="仿宋_GB2312" w:eastAsia="仿宋_GB2312" w:cs="DengXian-Regular"/>
          <w:sz w:val="32"/>
          <w:szCs w:val="32"/>
        </w:rPr>
        <w:t>项目</w:t>
      </w:r>
      <w:r>
        <w:rPr>
          <w:rFonts w:hint="eastAsia" w:ascii="仿宋_GB2312" w:eastAsia="仿宋_GB2312" w:cs="DengXian-Regular"/>
          <w:sz w:val="32"/>
          <w:szCs w:val="32"/>
        </w:rPr>
        <w:t>收入；决算支出总计增加了462.8万元，增加了49.8%，主要原因是较上年增加了行政运行、国家电影事业发展专项、文化活动、旅游行业和社会公益事业的彩票公益金的支出。</w:t>
      </w:r>
      <w:r>
        <w:rPr>
          <w:rFonts w:ascii="仿宋_GB2312" w:eastAsia="仿宋_GB2312" w:cs="DengXian-Regular"/>
          <w:sz w:val="32"/>
          <w:szCs w:val="32"/>
        </w:rPr>
        <w:t>决算收入总计中，年初结转和结余</w:t>
      </w:r>
      <w:r>
        <w:rPr>
          <w:rFonts w:hint="eastAsia" w:ascii="仿宋_GB2312" w:eastAsia="仿宋_GB2312" w:cs="DengXian-Regular"/>
          <w:sz w:val="32"/>
          <w:szCs w:val="32"/>
        </w:rPr>
        <w:t>55.16</w:t>
      </w:r>
      <w:r>
        <w:rPr>
          <w:rFonts w:ascii="仿宋_GB2312" w:eastAsia="仿宋_GB2312" w:cs="DengXian-Regular"/>
          <w:sz w:val="32"/>
          <w:szCs w:val="32"/>
        </w:rPr>
        <w:t>万元；年末结转和结余</w:t>
      </w:r>
      <w:r>
        <w:rPr>
          <w:rFonts w:hint="eastAsia" w:ascii="仿宋_GB2312" w:eastAsia="仿宋_GB2312" w:cs="DengXian-Regular"/>
          <w:sz w:val="32"/>
          <w:szCs w:val="32"/>
        </w:rPr>
        <w:t>240.22</w:t>
      </w:r>
      <w:r>
        <w:rPr>
          <w:rFonts w:ascii="仿宋_GB2312" w:eastAsia="仿宋_GB2312" w:cs="DengXian-Regular"/>
          <w:sz w:val="32"/>
          <w:szCs w:val="32"/>
        </w:rPr>
        <w:t>万元。</w:t>
      </w:r>
    </w:p>
    <w:p>
      <w:pPr>
        <w:pStyle w:val="3"/>
        <w:spacing w:before="0" w:after="0" w:line="580" w:lineRule="exact"/>
        <w:ind w:firstLine="640" w:firstLineChars="200"/>
        <w:rPr>
          <w:rFonts w:ascii="黑体" w:eastAsia="黑体"/>
          <w:b w:val="0"/>
          <w:bCs w:val="0"/>
        </w:rPr>
      </w:pPr>
      <w:r>
        <w:rPr>
          <w:rFonts w:hint="eastAsia" w:ascii="黑体" w:eastAsia="黑体"/>
          <w:b w:val="0"/>
          <w:bCs w:val="0"/>
        </w:rPr>
        <w:t>二、收入决算情况说明</w:t>
      </w:r>
    </w:p>
    <w:p>
      <w:pPr>
        <w:widowControl/>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 xml:space="preserve">本部门2018年度本年收入合计1576.59万元，其中：财政拨款收入1294.35万元，占82.1%；上级补助收入142.44万元，占9.0%； </w:t>
      </w:r>
      <w:r>
        <w:rPr>
          <w:rFonts w:ascii="仿宋_GB2312" w:eastAsia="仿宋_GB2312" w:cs="DengXian-Regular"/>
          <w:sz w:val="32"/>
          <w:szCs w:val="32"/>
        </w:rPr>
        <w:t>事业收入</w:t>
      </w:r>
      <w:r>
        <w:rPr>
          <w:rFonts w:hint="eastAsia" w:ascii="仿宋_GB2312" w:eastAsia="仿宋_GB2312" w:cs="DengXian-Regular"/>
          <w:sz w:val="32"/>
          <w:szCs w:val="32"/>
        </w:rPr>
        <w:t>0</w:t>
      </w:r>
      <w:r>
        <w:rPr>
          <w:rFonts w:ascii="仿宋_GB2312" w:eastAsia="仿宋_GB2312" w:cs="DengXian-Regular"/>
          <w:sz w:val="32"/>
          <w:szCs w:val="32"/>
        </w:rPr>
        <w:t>万元，占</w:t>
      </w:r>
      <w:r>
        <w:rPr>
          <w:rFonts w:hint="eastAsia" w:ascii="仿宋_GB2312" w:eastAsia="仿宋_GB2312" w:cs="DengXian-Regular"/>
          <w:sz w:val="32"/>
          <w:szCs w:val="32"/>
        </w:rPr>
        <w:t>0%；经营</w:t>
      </w:r>
      <w:r>
        <w:rPr>
          <w:rFonts w:ascii="仿宋_GB2312" w:eastAsia="仿宋_GB2312" w:cs="DengXian-Regular"/>
          <w:sz w:val="32"/>
          <w:szCs w:val="32"/>
        </w:rPr>
        <w:t>收入</w:t>
      </w:r>
      <w:r>
        <w:rPr>
          <w:rFonts w:hint="eastAsia" w:ascii="仿宋_GB2312" w:eastAsia="仿宋_GB2312" w:cs="DengXian-Regular"/>
          <w:sz w:val="32"/>
          <w:szCs w:val="32"/>
        </w:rPr>
        <w:t>0</w:t>
      </w:r>
      <w:r>
        <w:rPr>
          <w:rFonts w:ascii="仿宋_GB2312" w:eastAsia="仿宋_GB2312" w:cs="DengXian-Regular"/>
          <w:sz w:val="32"/>
          <w:szCs w:val="32"/>
        </w:rPr>
        <w:t>万元，占</w:t>
      </w:r>
      <w:r>
        <w:rPr>
          <w:rFonts w:hint="eastAsia" w:ascii="仿宋_GB2312" w:eastAsia="仿宋_GB2312" w:cs="DengXian-Regular"/>
          <w:sz w:val="32"/>
          <w:szCs w:val="32"/>
        </w:rPr>
        <w:t>0%；其他收入139.8万元，占8.9%。</w:t>
      </w:r>
    </w:p>
    <w:p>
      <w:pPr>
        <w:pStyle w:val="3"/>
        <w:spacing w:before="0" w:after="0" w:line="580" w:lineRule="exact"/>
        <w:ind w:firstLine="640" w:firstLineChars="200"/>
        <w:rPr>
          <w:rFonts w:ascii="黑体" w:eastAsia="黑体"/>
          <w:b w:val="0"/>
          <w:bCs w:val="0"/>
        </w:rPr>
      </w:pPr>
      <w:r>
        <w:rPr>
          <w:rFonts w:hint="eastAsia" w:ascii="黑体" w:eastAsia="黑体"/>
          <w:b w:val="0"/>
          <w:bCs w:val="0"/>
        </w:rPr>
        <w:t>三、支出决算情况说明</w:t>
      </w:r>
    </w:p>
    <w:p>
      <w:pPr>
        <w:widowControl/>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本部门2018年度本年支出合计1391.53万元，其中：基本支出1391.53万元，占100.0%；项目支出0万元，占0%；经营支出0万元，占0%。</w:t>
      </w:r>
    </w:p>
    <w:p>
      <w:pPr>
        <w:pStyle w:val="3"/>
        <w:spacing w:before="0" w:after="0" w:line="580" w:lineRule="exact"/>
        <w:ind w:firstLine="640" w:firstLineChars="200"/>
        <w:rPr>
          <w:rFonts w:ascii="黑体" w:eastAsia="黑体"/>
          <w:b w:val="0"/>
          <w:bCs w:val="0"/>
        </w:rPr>
      </w:pPr>
      <w:r>
        <w:rPr>
          <w:rFonts w:hint="eastAsia" w:ascii="黑体" w:eastAsia="黑体"/>
          <w:b w:val="0"/>
          <w:bCs w:val="0"/>
        </w:rPr>
        <w:t>四、</w:t>
      </w:r>
      <w:r>
        <w:rPr>
          <w:rFonts w:hint="eastAsia" w:ascii="黑体" w:eastAsia="黑体" w:cs="黑体" w:hAnsiTheme="minorHAnsi"/>
          <w:b w:val="0"/>
          <w:bCs w:val="0"/>
          <w:kern w:val="0"/>
        </w:rPr>
        <w:t>财政</w:t>
      </w:r>
      <w:r>
        <w:rPr>
          <w:rFonts w:hint="eastAsia" w:ascii="黑体" w:eastAsia="黑体"/>
          <w:b w:val="0"/>
          <w:bCs w:val="0"/>
        </w:rPr>
        <w:t>拨款收入支出决算情况说明</w:t>
      </w:r>
    </w:p>
    <w:p>
      <w:pPr>
        <w:spacing w:after="0" w:line="580" w:lineRule="exact"/>
        <w:ind w:firstLine="643" w:firstLineChars="200"/>
        <w:rPr>
          <w:rFonts w:ascii="楷体_GB2312" w:eastAsia="楷体_GB2312" w:cs="DengXian-Bold"/>
          <w:b/>
          <w:bCs/>
          <w:sz w:val="32"/>
          <w:szCs w:val="32"/>
        </w:rPr>
      </w:pPr>
      <w:r>
        <w:rPr>
          <w:rFonts w:hint="eastAsia" w:ascii="楷体_GB2312" w:eastAsia="楷体_GB2312" w:cs="DengXian-Bold"/>
          <w:b/>
          <w:bCs/>
          <w:sz w:val="32"/>
          <w:szCs w:val="32"/>
        </w:rPr>
        <w:t>（一）财政拨款收支与2017 年度决算对比情况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本部门2018年度财政拨款本年收入1294.35万元,比2017年度增加555.88万元，增长753%，</w:t>
      </w:r>
      <w:r>
        <w:rPr>
          <w:rFonts w:eastAsia="仿宋_GB2312"/>
          <w:color w:val="000000"/>
          <w:kern w:val="0"/>
          <w:sz w:val="32"/>
          <w:szCs w:val="32"/>
        </w:rPr>
        <w:t>主要原因是较上年</w:t>
      </w:r>
      <w:r>
        <w:rPr>
          <w:rFonts w:hint="eastAsia" w:eastAsia="仿宋_GB2312"/>
          <w:color w:val="000000"/>
          <w:kern w:val="0"/>
          <w:sz w:val="32"/>
          <w:szCs w:val="32"/>
        </w:rPr>
        <w:t>增加了行政运行、国家电影事业发展专项、文化活动、其他文化体育体育与传媒、旅游行业和社会公益事业的彩票公益金</w:t>
      </w:r>
      <w:r>
        <w:rPr>
          <w:rFonts w:eastAsia="仿宋_GB2312"/>
          <w:color w:val="000000"/>
          <w:kern w:val="0"/>
          <w:sz w:val="32"/>
          <w:szCs w:val="32"/>
        </w:rPr>
        <w:t>项目</w:t>
      </w:r>
      <w:r>
        <w:rPr>
          <w:rFonts w:hint="eastAsia" w:eastAsia="仿宋_GB2312"/>
          <w:color w:val="000000"/>
          <w:kern w:val="0"/>
          <w:sz w:val="32"/>
          <w:szCs w:val="32"/>
        </w:rPr>
        <w:t>收入</w:t>
      </w:r>
      <w:r>
        <w:rPr>
          <w:rFonts w:hint="eastAsia" w:ascii="仿宋_GB2312" w:eastAsia="仿宋_GB2312" w:cs="DengXian-Regular"/>
          <w:sz w:val="32"/>
          <w:szCs w:val="32"/>
        </w:rPr>
        <w:t>；本年支出1180.18万元，增加285.45万元，增长31.9%，</w:t>
      </w:r>
      <w:r>
        <w:rPr>
          <w:rFonts w:hint="eastAsia" w:eastAsia="仿宋_GB2312"/>
          <w:color w:val="000000"/>
          <w:kern w:val="0"/>
          <w:sz w:val="32"/>
          <w:szCs w:val="32"/>
        </w:rPr>
        <w:t>主要原因是较上年增加了行政运行、国家电影事业发展专项、文化活动、旅游行业和社会公益事业的彩票公益金的支出</w:t>
      </w:r>
      <w:r>
        <w:rPr>
          <w:rFonts w:hint="eastAsia" w:ascii="仿宋_GB2312" w:eastAsia="仿宋_GB2312" w:cs="DengXian-Regular"/>
          <w:sz w:val="32"/>
          <w:szCs w:val="32"/>
        </w:rPr>
        <w:t>。</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其中：一般公共预算财政拨款本年收入986.31万元，比2017年度增加375.84万元；</w:t>
      </w:r>
      <w:r>
        <w:rPr>
          <w:rFonts w:eastAsia="仿宋_GB2312"/>
          <w:color w:val="000000"/>
          <w:kern w:val="0"/>
          <w:sz w:val="32"/>
          <w:szCs w:val="32"/>
        </w:rPr>
        <w:t>主要原因是较上年</w:t>
      </w:r>
      <w:r>
        <w:rPr>
          <w:rFonts w:hint="eastAsia" w:eastAsia="仿宋_GB2312"/>
          <w:color w:val="000000"/>
          <w:kern w:val="0"/>
          <w:sz w:val="32"/>
          <w:szCs w:val="32"/>
        </w:rPr>
        <w:t>增加了行政运行、文化活动、其他文化体育体育与传媒和旅游行业</w:t>
      </w:r>
      <w:r>
        <w:rPr>
          <w:rFonts w:eastAsia="仿宋_GB2312"/>
          <w:color w:val="000000"/>
          <w:kern w:val="0"/>
          <w:sz w:val="32"/>
          <w:szCs w:val="32"/>
        </w:rPr>
        <w:t>项目</w:t>
      </w:r>
      <w:r>
        <w:rPr>
          <w:rFonts w:hint="eastAsia" w:eastAsia="仿宋_GB2312"/>
          <w:color w:val="000000"/>
          <w:kern w:val="0"/>
          <w:sz w:val="32"/>
          <w:szCs w:val="32"/>
        </w:rPr>
        <w:t>收入</w:t>
      </w:r>
      <w:r>
        <w:rPr>
          <w:rFonts w:hint="eastAsia" w:ascii="仿宋_GB2312" w:eastAsia="仿宋_GB2312" w:cs="DengXian-Regular"/>
          <w:sz w:val="32"/>
          <w:szCs w:val="32"/>
        </w:rPr>
        <w:t>；本年支出872.36万元，比2017年度增加105.63万元，增长13.8%，</w:t>
      </w:r>
      <w:r>
        <w:rPr>
          <w:rFonts w:hint="eastAsia" w:eastAsia="仿宋_GB2312"/>
          <w:color w:val="000000"/>
          <w:kern w:val="0"/>
          <w:sz w:val="32"/>
          <w:szCs w:val="32"/>
        </w:rPr>
        <w:t>主要原因是较上年增加了行政运行、文化活动、旅游行业和的支出</w:t>
      </w:r>
      <w:r>
        <w:rPr>
          <w:rFonts w:hint="eastAsia" w:ascii="仿宋_GB2312" w:eastAsia="仿宋_GB2312" w:cs="DengXian-Regular"/>
          <w:sz w:val="32"/>
          <w:szCs w:val="32"/>
        </w:rPr>
        <w:t>。政府性基金预算财政拨款本年收入308.04万元，比2017年度增加180.04万元，增长140.7%，主要原因是</w:t>
      </w:r>
      <w:r>
        <w:rPr>
          <w:rFonts w:hint="eastAsia" w:eastAsia="仿宋_GB2312"/>
          <w:color w:val="000000"/>
          <w:kern w:val="0"/>
          <w:sz w:val="32"/>
          <w:szCs w:val="32"/>
        </w:rPr>
        <w:t>较上年增加了国家电影事业发展专项和社会公益事业的彩票公益金的收入</w:t>
      </w:r>
      <w:r>
        <w:rPr>
          <w:rFonts w:hint="eastAsia" w:ascii="仿宋_GB2312" w:eastAsia="仿宋_GB2312" w:cs="DengXian-Regular"/>
          <w:sz w:val="32"/>
          <w:szCs w:val="32"/>
        </w:rPr>
        <w:t>；本年支出307.83万元，比2017年度增加179.83万元，增长140.5%，主要原因是</w:t>
      </w:r>
      <w:r>
        <w:rPr>
          <w:rFonts w:hint="eastAsia" w:eastAsia="仿宋_GB2312"/>
          <w:color w:val="000000"/>
          <w:kern w:val="0"/>
          <w:sz w:val="32"/>
          <w:szCs w:val="32"/>
        </w:rPr>
        <w:t>较上年增加了国家电影事业发展专项和社会公益事业的彩票公益金的支出</w:t>
      </w:r>
      <w:r>
        <w:rPr>
          <w:rFonts w:hint="eastAsia" w:ascii="仿宋_GB2312" w:eastAsia="仿宋_GB2312" w:cs="DengXian-Regular"/>
          <w:sz w:val="32"/>
          <w:szCs w:val="32"/>
        </w:rPr>
        <w:t>。</w:t>
      </w:r>
    </w:p>
    <w:p>
      <w:pPr>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本部门2018年度财政拨款本年收入1294.35万元，完成年初预算的147.2%,比年初预算增加415.25万元，决算数大于预算数，</w:t>
      </w:r>
      <w:r>
        <w:rPr>
          <w:rFonts w:eastAsia="仿宋_GB2312"/>
          <w:color w:val="000000"/>
          <w:kern w:val="0"/>
          <w:sz w:val="32"/>
          <w:szCs w:val="32"/>
        </w:rPr>
        <w:t>主要原因是</w:t>
      </w:r>
      <w:r>
        <w:rPr>
          <w:rFonts w:hint="eastAsia" w:eastAsia="仿宋_GB2312"/>
          <w:color w:val="000000"/>
          <w:kern w:val="0"/>
          <w:sz w:val="32"/>
          <w:szCs w:val="32"/>
        </w:rPr>
        <w:t>增加了行政运行、国家电影事业发展专项、 文化活动、其他文化体育体育与传媒、旅游行业和社会公益事业的彩票公益金</w:t>
      </w:r>
      <w:r>
        <w:rPr>
          <w:rFonts w:eastAsia="仿宋_GB2312"/>
          <w:color w:val="000000"/>
          <w:kern w:val="0"/>
          <w:sz w:val="32"/>
          <w:szCs w:val="32"/>
        </w:rPr>
        <w:t>项目</w:t>
      </w:r>
      <w:r>
        <w:rPr>
          <w:rFonts w:hint="eastAsia" w:eastAsia="仿宋_GB2312"/>
          <w:color w:val="000000"/>
          <w:kern w:val="0"/>
          <w:sz w:val="32"/>
          <w:szCs w:val="32"/>
        </w:rPr>
        <w:t>收入</w:t>
      </w:r>
      <w:r>
        <w:rPr>
          <w:rFonts w:hint="eastAsia" w:ascii="仿宋_GB2312" w:eastAsia="仿宋_GB2312" w:cs="DengXian-Regular"/>
          <w:sz w:val="32"/>
          <w:szCs w:val="32"/>
        </w:rPr>
        <w:t>；本年支出1180.19万元，完成年初预算的134.3%,比年初预算增加301.09万元，决算数大于预算数，</w:t>
      </w:r>
      <w:r>
        <w:rPr>
          <w:rFonts w:eastAsia="仿宋_GB2312"/>
          <w:color w:val="000000"/>
          <w:kern w:val="0"/>
          <w:sz w:val="32"/>
          <w:szCs w:val="32"/>
        </w:rPr>
        <w:t>主要原因是</w:t>
      </w:r>
      <w:r>
        <w:rPr>
          <w:rFonts w:hint="eastAsia" w:eastAsia="仿宋_GB2312"/>
          <w:color w:val="000000"/>
          <w:kern w:val="0"/>
          <w:sz w:val="32"/>
          <w:szCs w:val="32"/>
        </w:rPr>
        <w:t>增加了行政运行、国家电影事业发展专项、 文化活动、其他文化体育体育与传媒、旅游行业和社会公益事业的彩票公益金</w:t>
      </w:r>
      <w:r>
        <w:rPr>
          <w:rFonts w:eastAsia="仿宋_GB2312"/>
          <w:color w:val="000000"/>
          <w:kern w:val="0"/>
          <w:sz w:val="32"/>
          <w:szCs w:val="32"/>
        </w:rPr>
        <w:t>项目</w:t>
      </w:r>
      <w:r>
        <w:rPr>
          <w:rFonts w:hint="eastAsia" w:eastAsia="仿宋_GB2312"/>
          <w:color w:val="000000"/>
          <w:kern w:val="0"/>
          <w:sz w:val="32"/>
          <w:szCs w:val="32"/>
        </w:rPr>
        <w:t>支出</w:t>
      </w:r>
      <w:r>
        <w:rPr>
          <w:rFonts w:hint="eastAsia" w:ascii="仿宋_GB2312" w:eastAsia="仿宋_GB2312" w:cs="DengXian-Regular"/>
          <w:sz w:val="32"/>
          <w:szCs w:val="32"/>
        </w:rPr>
        <w:t>。</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其中，一般公共预算财政拨款本年收入完成年初预算112.2%，比年初预算增加107.21万元，决算数大于预算数，</w:t>
      </w:r>
      <w:r>
        <w:rPr>
          <w:rFonts w:eastAsia="仿宋_GB2312"/>
          <w:color w:val="000000"/>
          <w:kern w:val="0"/>
          <w:sz w:val="32"/>
          <w:szCs w:val="32"/>
        </w:rPr>
        <w:t>主要原因是</w:t>
      </w:r>
      <w:r>
        <w:rPr>
          <w:rFonts w:hint="eastAsia" w:eastAsia="仿宋_GB2312"/>
          <w:color w:val="000000"/>
          <w:kern w:val="0"/>
          <w:sz w:val="32"/>
          <w:szCs w:val="32"/>
        </w:rPr>
        <w:t>增加了行政运行、文化活动、其他文化体育体育与传媒和旅游行业</w:t>
      </w:r>
      <w:r>
        <w:rPr>
          <w:rFonts w:eastAsia="仿宋_GB2312"/>
          <w:color w:val="000000"/>
          <w:kern w:val="0"/>
          <w:sz w:val="32"/>
          <w:szCs w:val="32"/>
        </w:rPr>
        <w:t>项目</w:t>
      </w:r>
      <w:r>
        <w:rPr>
          <w:rFonts w:hint="eastAsia" w:eastAsia="仿宋_GB2312"/>
          <w:color w:val="000000"/>
          <w:kern w:val="0"/>
          <w:sz w:val="32"/>
          <w:szCs w:val="32"/>
        </w:rPr>
        <w:t>收入</w:t>
      </w:r>
      <w:r>
        <w:rPr>
          <w:rFonts w:hint="eastAsia" w:ascii="仿宋_GB2312" w:eastAsia="仿宋_GB2312" w:cs="DengXian-Regular"/>
          <w:sz w:val="32"/>
          <w:szCs w:val="32"/>
        </w:rPr>
        <w:t>；支出完成年初预算99.2%，比年初预算减少6.74万元，决算数小于预算数，主要原因是项目支出有。政府性基金年初没有列入预算收入，实际收入308.04万元，比年初预算增加308.04万元，决算数大于预算数，主要原因是</w:t>
      </w:r>
      <w:r>
        <w:rPr>
          <w:rFonts w:hint="eastAsia" w:eastAsia="仿宋_GB2312"/>
          <w:color w:val="000000"/>
          <w:kern w:val="0"/>
          <w:sz w:val="32"/>
          <w:szCs w:val="32"/>
        </w:rPr>
        <w:t>增加了国家电影事业发展专项和社会公益事业的彩票公益金的收入</w:t>
      </w:r>
      <w:r>
        <w:rPr>
          <w:rFonts w:hint="eastAsia" w:ascii="仿宋_GB2312" w:eastAsia="仿宋_GB2312" w:cs="DengXian-Regular"/>
          <w:sz w:val="32"/>
          <w:szCs w:val="32"/>
        </w:rPr>
        <w:t>；年初没有列入预算支出，实际支出307.83万元，比年初预算增加307.83万元，决算数大于预算数，主要原因是</w:t>
      </w:r>
      <w:r>
        <w:rPr>
          <w:rFonts w:hint="eastAsia" w:eastAsia="仿宋_GB2312"/>
          <w:color w:val="000000"/>
          <w:kern w:val="0"/>
          <w:sz w:val="32"/>
          <w:szCs w:val="32"/>
        </w:rPr>
        <w:t>较上年增加了国家电影事业发展专项和社会公益事业的彩票公益金的支出</w:t>
      </w:r>
      <w:r>
        <w:rPr>
          <w:rFonts w:hint="eastAsia" w:ascii="仿宋_GB2312" w:eastAsia="仿宋_GB2312" w:cs="DengXian-Regular"/>
          <w:sz w:val="32"/>
          <w:szCs w:val="32"/>
        </w:rPr>
        <w:t>。</w:t>
      </w:r>
    </w:p>
    <w:p>
      <w:pPr>
        <w:numPr>
          <w:ilvl w:val="0"/>
          <w:numId w:val="1"/>
        </w:num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财政拨款支出决算结构情况。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年度财政拨款支出1180.19万元，主要用于以下方面：文化体育与传媒支出1050.66万元，占89.0%；商业服务业等支出65.7万元，占5.6%；其他支出63.83万元，占5.4%。</w:t>
      </w:r>
    </w:p>
    <w:p>
      <w:p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（四）一般公共预算财政拨款基本支出决算情况说明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年度一般公共预算财政拨款基本支出872.37万元，其中：人员经费 611.24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261.13万元，主要包括办公费、印刷费、咨询费、手续费、水费、电费、邮电费、取暖费、物业管理费、差旅费、维修（护）费、租赁费、会议费、培训费、专用材料费、劳务费、委托业务费、工会经费、福利费、公务用车运行维护费、其他交通费用、税金及附加费用、其他商品和服务支出、办公设备购置、专用设备购置、信息网络及软件购置更新、公务用车购置、其他资本性支出等。</w:t>
      </w:r>
    </w:p>
    <w:p>
      <w:pPr>
        <w:pStyle w:val="3"/>
        <w:spacing w:before="0" w:after="0" w:line="580" w:lineRule="exact"/>
        <w:ind w:firstLine="640" w:firstLineChars="200"/>
        <w:rPr>
          <w:rFonts w:ascii="黑体" w:eastAsia="黑体"/>
          <w:b w:val="0"/>
          <w:bCs w:val="0"/>
        </w:rPr>
      </w:pPr>
      <w:r>
        <w:rPr>
          <w:rFonts w:hint="eastAsia" w:ascii="黑体" w:eastAsia="黑体"/>
          <w:b w:val="0"/>
          <w:bCs w:val="0"/>
        </w:rPr>
        <w:t>五、一般公共预算财政拨款“三公” 经费支出决算情况说明</w:t>
      </w:r>
    </w:p>
    <w:p>
      <w:pPr>
        <w:adjustRightInd w:val="0"/>
        <w:snapToGrid w:val="0"/>
        <w:spacing w:line="584" w:lineRule="exact"/>
        <w:ind w:firstLine="640" w:firstLineChars="200"/>
        <w:rPr>
          <w:rFonts w:eastAsia="仿宋_GB2312"/>
          <w:sz w:val="32"/>
          <w:szCs w:val="32"/>
          <w:highlight w:val="yellow"/>
        </w:rPr>
      </w:pPr>
      <w:r>
        <w:rPr>
          <w:rFonts w:eastAsia="仿宋_GB2312"/>
          <w:sz w:val="32"/>
          <w:szCs w:val="32"/>
        </w:rPr>
        <w:t>本部门201</w:t>
      </w:r>
      <w:r>
        <w:rPr>
          <w:rFonts w:hint="eastAsia" w:eastAsia="仿宋_GB2312"/>
          <w:sz w:val="32"/>
          <w:szCs w:val="32"/>
        </w:rPr>
        <w:t>8</w:t>
      </w:r>
      <w:r>
        <w:rPr>
          <w:rFonts w:eastAsia="仿宋_GB2312"/>
          <w:sz w:val="32"/>
          <w:szCs w:val="32"/>
        </w:rPr>
        <w:t>年度一般公共预算财政拨款“三公”经费支出共计</w:t>
      </w:r>
      <w:r>
        <w:rPr>
          <w:rFonts w:hint="eastAsia" w:eastAsia="仿宋_GB2312"/>
          <w:sz w:val="32"/>
          <w:szCs w:val="32"/>
        </w:rPr>
        <w:t>4.22</w:t>
      </w:r>
      <w:r>
        <w:rPr>
          <w:rFonts w:eastAsia="仿宋_GB2312"/>
          <w:sz w:val="32"/>
          <w:szCs w:val="32"/>
        </w:rPr>
        <w:t>万元，</w:t>
      </w:r>
      <w:r>
        <w:rPr>
          <w:rFonts w:hint="eastAsia" w:eastAsia="仿宋_GB2312"/>
          <w:sz w:val="32"/>
          <w:szCs w:val="32"/>
        </w:rPr>
        <w:t>比</w:t>
      </w:r>
      <w:r>
        <w:rPr>
          <w:rFonts w:eastAsia="仿宋_GB2312"/>
          <w:sz w:val="32"/>
          <w:szCs w:val="32"/>
        </w:rPr>
        <w:t>年初预算减少</w:t>
      </w:r>
      <w:r>
        <w:rPr>
          <w:rFonts w:hint="eastAsia" w:eastAsia="仿宋_GB2312"/>
          <w:sz w:val="32"/>
          <w:szCs w:val="32"/>
        </w:rPr>
        <w:t>0.38</w:t>
      </w:r>
      <w:r>
        <w:rPr>
          <w:rFonts w:eastAsia="仿宋_GB2312"/>
          <w:sz w:val="32"/>
          <w:szCs w:val="32"/>
        </w:rPr>
        <w:t>万元，降低</w:t>
      </w:r>
      <w:r>
        <w:rPr>
          <w:rFonts w:hint="eastAsia" w:eastAsia="仿宋_GB2312"/>
          <w:sz w:val="32"/>
          <w:szCs w:val="32"/>
        </w:rPr>
        <w:t>9.0</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color w:val="000000"/>
          <w:kern w:val="0"/>
          <w:sz w:val="32"/>
          <w:szCs w:val="32"/>
        </w:rPr>
        <w:t>认真落实中央八项规定精神和厉行节约要求</w:t>
      </w:r>
      <w:r>
        <w:rPr>
          <w:rFonts w:eastAsia="仿宋_GB2312"/>
          <w:sz w:val="32"/>
          <w:szCs w:val="32"/>
        </w:rPr>
        <w:t>；</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年度决算增加</w:t>
      </w:r>
      <w:r>
        <w:rPr>
          <w:rFonts w:hint="eastAsia" w:eastAsia="仿宋_GB2312"/>
          <w:sz w:val="32"/>
          <w:szCs w:val="32"/>
        </w:rPr>
        <w:t>2.01</w:t>
      </w:r>
      <w:r>
        <w:rPr>
          <w:rFonts w:eastAsia="仿宋_GB2312"/>
          <w:sz w:val="32"/>
          <w:szCs w:val="32"/>
        </w:rPr>
        <w:t>万元，增长</w:t>
      </w:r>
      <w:r>
        <w:rPr>
          <w:rFonts w:hint="eastAsia" w:eastAsia="仿宋_GB2312"/>
          <w:sz w:val="32"/>
          <w:szCs w:val="32"/>
        </w:rPr>
        <w:t>91.0</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sz w:val="32"/>
          <w:szCs w:val="32"/>
        </w:rPr>
        <w:t>2018年车辆进行了维修和保养、下乡检查比较多、增加了车辆保险费</w:t>
      </w:r>
      <w:r>
        <w:rPr>
          <w:rFonts w:eastAsia="仿宋_GB2312"/>
          <w:sz w:val="32"/>
          <w:szCs w:val="32"/>
        </w:rPr>
        <w:t>。具体情况如下：</w:t>
      </w:r>
    </w:p>
    <w:p>
      <w:pPr>
        <w:adjustRightInd w:val="0"/>
        <w:snapToGrid w:val="0"/>
        <w:spacing w:line="584" w:lineRule="exact"/>
        <w:ind w:firstLine="643" w:firstLineChars="200"/>
        <w:rPr>
          <w:rFonts w:eastAsia="仿宋_GB2312"/>
          <w:sz w:val="32"/>
          <w:szCs w:val="32"/>
          <w:highlight w:val="yellow"/>
        </w:rPr>
      </w:pPr>
      <w:r>
        <w:rPr>
          <w:rFonts w:eastAsia="楷体_GB2312"/>
          <w:b/>
          <w:bCs/>
          <w:sz w:val="32"/>
          <w:szCs w:val="32"/>
        </w:rPr>
        <w:t>（一）因公出国（境）费支出</w:t>
      </w:r>
      <w:r>
        <w:rPr>
          <w:rFonts w:hint="eastAsia" w:eastAsia="楷体_GB2312"/>
          <w:b/>
          <w:bCs/>
          <w:sz w:val="32"/>
          <w:szCs w:val="32"/>
        </w:rPr>
        <w:t>0</w:t>
      </w:r>
      <w:r>
        <w:rPr>
          <w:rFonts w:eastAsia="楷体_GB2312"/>
          <w:b/>
          <w:bCs/>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年度未发生</w:t>
      </w:r>
      <w:r>
        <w:rPr>
          <w:rFonts w:hint="eastAsia" w:ascii="仿宋_GB2312" w:eastAsia="仿宋_GB2312" w:cs="DengXian-Regular"/>
          <w:sz w:val="32"/>
          <w:szCs w:val="32"/>
        </w:rPr>
        <w:t>因公出国（境）</w:t>
      </w:r>
      <w:r>
        <w:rPr>
          <w:rFonts w:ascii="仿宋_GB2312" w:eastAsia="仿宋_GB2312" w:cs="DengXian-Regular"/>
          <w:sz w:val="32"/>
          <w:szCs w:val="32"/>
        </w:rPr>
        <w:t>费支出，</w:t>
      </w:r>
      <w:r>
        <w:rPr>
          <w:rFonts w:eastAsia="仿宋_GB2312"/>
          <w:sz w:val="32"/>
          <w:szCs w:val="32"/>
        </w:rPr>
        <w:t>较年初预算无增减变化；较201</w:t>
      </w:r>
      <w:r>
        <w:rPr>
          <w:rFonts w:hint="eastAsia" w:eastAsia="仿宋_GB2312"/>
          <w:sz w:val="32"/>
          <w:szCs w:val="32"/>
        </w:rPr>
        <w:t>7</w:t>
      </w:r>
      <w:r>
        <w:rPr>
          <w:rFonts w:eastAsia="仿宋_GB2312"/>
          <w:sz w:val="32"/>
          <w:szCs w:val="32"/>
        </w:rPr>
        <w:t>年度决算无增减变化</w:t>
      </w:r>
      <w:r>
        <w:rPr>
          <w:rFonts w:hint="eastAsia" w:eastAsia="仿宋_GB2312"/>
          <w:sz w:val="32"/>
          <w:szCs w:val="32"/>
        </w:rPr>
        <w:t>。</w:t>
      </w:r>
    </w:p>
    <w:p>
      <w:pPr>
        <w:adjustRightInd w:val="0"/>
        <w:snapToGrid w:val="0"/>
        <w:spacing w:line="584" w:lineRule="exact"/>
        <w:ind w:firstLine="643" w:firstLineChars="200"/>
        <w:rPr>
          <w:rFonts w:eastAsia="仿宋_GB2312"/>
          <w:b/>
          <w:bCs/>
          <w:sz w:val="32"/>
          <w:szCs w:val="32"/>
        </w:rPr>
      </w:pPr>
      <w:r>
        <w:rPr>
          <w:rFonts w:eastAsia="楷体_GB2312"/>
          <w:b/>
          <w:bCs/>
          <w:sz w:val="32"/>
          <w:szCs w:val="32"/>
        </w:rPr>
        <w:t>（二）公务用车购置及运行维护费支出</w:t>
      </w:r>
      <w:r>
        <w:rPr>
          <w:rFonts w:hint="eastAsia" w:eastAsia="楷体_GB2312"/>
          <w:b/>
          <w:bCs/>
          <w:sz w:val="32"/>
          <w:szCs w:val="32"/>
        </w:rPr>
        <w:t>4.22</w:t>
      </w:r>
      <w:r>
        <w:rPr>
          <w:rFonts w:eastAsia="楷体_GB2312"/>
          <w:b/>
          <w:bCs/>
          <w:sz w:val="32"/>
          <w:szCs w:val="32"/>
        </w:rPr>
        <w:t>万元。</w:t>
      </w:r>
      <w:r>
        <w:rPr>
          <w:rFonts w:hint="eastAsia" w:ascii="仿宋_GB2312" w:eastAsia="仿宋_GB2312" w:cs="DengXian-Regular"/>
          <w:sz w:val="32"/>
          <w:szCs w:val="32"/>
        </w:rPr>
        <w:t>本部门2018年度公务用车购置及运行维护费比年初预算</w:t>
      </w:r>
      <w:r>
        <w:rPr>
          <w:rFonts w:eastAsia="仿宋_GB2312"/>
          <w:sz w:val="32"/>
          <w:szCs w:val="32"/>
        </w:rPr>
        <w:t>减少</w:t>
      </w:r>
      <w:r>
        <w:rPr>
          <w:rFonts w:hint="eastAsia" w:eastAsia="仿宋_GB2312"/>
          <w:sz w:val="32"/>
          <w:szCs w:val="32"/>
        </w:rPr>
        <w:t>0.38</w:t>
      </w:r>
      <w:r>
        <w:rPr>
          <w:rFonts w:eastAsia="仿宋_GB2312"/>
          <w:sz w:val="32"/>
          <w:szCs w:val="32"/>
        </w:rPr>
        <w:t>万元</w:t>
      </w:r>
      <w:r>
        <w:rPr>
          <w:rFonts w:hint="eastAsia" w:ascii="仿宋_GB2312" w:eastAsia="仿宋_GB2312" w:cs="DengXian-Regular"/>
          <w:sz w:val="32"/>
          <w:szCs w:val="32"/>
        </w:rPr>
        <w:t>，</w:t>
      </w:r>
      <w:r>
        <w:rPr>
          <w:rFonts w:eastAsia="仿宋_GB2312"/>
          <w:sz w:val="32"/>
          <w:szCs w:val="32"/>
        </w:rPr>
        <w:t>降低</w:t>
      </w:r>
      <w:r>
        <w:rPr>
          <w:rFonts w:hint="eastAsia" w:eastAsia="仿宋_GB2312"/>
          <w:sz w:val="32"/>
          <w:szCs w:val="32"/>
        </w:rPr>
        <w:t>9.0</w:t>
      </w:r>
      <w:r>
        <w:rPr>
          <w:rFonts w:eastAsia="仿宋_GB2312"/>
          <w:sz w:val="32"/>
          <w:szCs w:val="32"/>
        </w:rPr>
        <w:t>%</w:t>
      </w:r>
      <w:r>
        <w:rPr>
          <w:rFonts w:hint="eastAsia" w:ascii="仿宋_GB2312" w:eastAsia="仿宋_GB2312" w:cs="DengXian-Regular"/>
          <w:sz w:val="32"/>
          <w:szCs w:val="32"/>
        </w:rPr>
        <w:t>,</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color w:val="000000"/>
          <w:kern w:val="0"/>
          <w:sz w:val="32"/>
          <w:szCs w:val="32"/>
        </w:rPr>
        <w:t>认真落实中央八项规定精神和厉行节约要求</w:t>
      </w:r>
      <w:r>
        <w:rPr>
          <w:rFonts w:hint="eastAsia" w:ascii="仿宋_GB2312" w:eastAsia="仿宋_GB2312" w:cs="DengXian-Regular"/>
          <w:sz w:val="32"/>
          <w:szCs w:val="32"/>
        </w:rPr>
        <w:t>；</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年度决算增加</w:t>
      </w:r>
      <w:r>
        <w:rPr>
          <w:rFonts w:hint="eastAsia" w:eastAsia="仿宋_GB2312"/>
          <w:sz w:val="32"/>
          <w:szCs w:val="32"/>
        </w:rPr>
        <w:t>2.01</w:t>
      </w:r>
      <w:r>
        <w:rPr>
          <w:rFonts w:eastAsia="仿宋_GB2312"/>
          <w:sz w:val="32"/>
          <w:szCs w:val="32"/>
        </w:rPr>
        <w:t>万元，增长</w:t>
      </w:r>
      <w:r>
        <w:rPr>
          <w:rFonts w:hint="eastAsia" w:eastAsia="仿宋_GB2312"/>
          <w:sz w:val="32"/>
          <w:szCs w:val="32"/>
        </w:rPr>
        <w:t>91.0</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sz w:val="32"/>
          <w:szCs w:val="32"/>
        </w:rPr>
        <w:t>2018年车辆进行了维修和保养、下乡检查比较多、增加了车辆保险费</w:t>
      </w:r>
      <w:r>
        <w:rPr>
          <w:rFonts w:eastAsia="仿宋_GB2312"/>
          <w:sz w:val="32"/>
          <w:szCs w:val="32"/>
        </w:rPr>
        <w:t>。</w:t>
      </w:r>
      <w:r>
        <w:rPr>
          <w:rFonts w:eastAsia="仿宋_GB2312"/>
          <w:b/>
          <w:bCs/>
          <w:sz w:val="32"/>
          <w:szCs w:val="32"/>
        </w:rPr>
        <w:t>其中：</w:t>
      </w:r>
    </w:p>
    <w:p>
      <w:pPr>
        <w:adjustRightInd w:val="0"/>
        <w:snapToGrid w:val="0"/>
        <w:spacing w:line="584" w:lineRule="exact"/>
        <w:ind w:firstLine="643" w:firstLineChars="200"/>
        <w:rPr>
          <w:rFonts w:eastAsia="仿宋_GB2312"/>
          <w:sz w:val="32"/>
          <w:szCs w:val="32"/>
          <w:highlight w:val="yellow"/>
        </w:rPr>
      </w:pPr>
      <w:r>
        <w:rPr>
          <w:rFonts w:eastAsia="仿宋_GB2312"/>
          <w:b/>
          <w:sz w:val="32"/>
          <w:szCs w:val="32"/>
        </w:rPr>
        <w:t>公务用车购置费支出</w:t>
      </w:r>
      <w:r>
        <w:rPr>
          <w:rFonts w:hint="eastAsia" w:eastAsia="仿宋_GB2312"/>
          <w:b/>
          <w:sz w:val="32"/>
          <w:szCs w:val="32"/>
        </w:rPr>
        <w:t>0</w:t>
      </w:r>
      <w:r>
        <w:rPr>
          <w:rFonts w:eastAsia="仿宋_GB2312"/>
          <w:b/>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年度未发生公务用车购置经费支出。较年初预算无增减变化；较201</w:t>
      </w:r>
      <w:r>
        <w:rPr>
          <w:rFonts w:hint="eastAsia" w:eastAsia="仿宋_GB2312"/>
          <w:sz w:val="32"/>
          <w:szCs w:val="32"/>
        </w:rPr>
        <w:t>7</w:t>
      </w:r>
      <w:r>
        <w:rPr>
          <w:rFonts w:eastAsia="仿宋_GB2312"/>
          <w:sz w:val="32"/>
          <w:szCs w:val="32"/>
        </w:rPr>
        <w:t>年度决算无增减变化。</w:t>
      </w:r>
    </w:p>
    <w:p>
      <w:pPr>
        <w:adjustRightInd w:val="0"/>
        <w:snapToGrid w:val="0"/>
        <w:spacing w:line="584" w:lineRule="exact"/>
        <w:ind w:firstLine="643" w:firstLineChars="200"/>
        <w:rPr>
          <w:rFonts w:eastAsia="仿宋_GB2312"/>
          <w:sz w:val="32"/>
          <w:szCs w:val="32"/>
          <w:highlight w:val="yellow"/>
        </w:rPr>
      </w:pPr>
      <w:r>
        <w:rPr>
          <w:rFonts w:eastAsia="仿宋_GB2312"/>
          <w:b/>
          <w:sz w:val="32"/>
          <w:szCs w:val="32"/>
        </w:rPr>
        <w:t>公务用车运行维护费支出</w:t>
      </w:r>
      <w:r>
        <w:rPr>
          <w:rFonts w:hint="eastAsia" w:eastAsia="仿宋_GB2312"/>
          <w:b/>
          <w:sz w:val="32"/>
          <w:szCs w:val="32"/>
        </w:rPr>
        <w:t>4.22</w:t>
      </w:r>
      <w:r>
        <w:rPr>
          <w:rFonts w:eastAsia="仿宋_GB2312"/>
          <w:b/>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年末单位公务用车保有量</w:t>
      </w:r>
      <w:r>
        <w:rPr>
          <w:rFonts w:hint="eastAsia" w:eastAsia="仿宋_GB2312"/>
          <w:sz w:val="32"/>
          <w:szCs w:val="32"/>
        </w:rPr>
        <w:t>2</w:t>
      </w:r>
      <w:r>
        <w:rPr>
          <w:rFonts w:eastAsia="仿宋_GB2312"/>
          <w:sz w:val="32"/>
          <w:szCs w:val="32"/>
        </w:rPr>
        <w:t>辆。公车运行维护费支出</w:t>
      </w:r>
      <w:r>
        <w:rPr>
          <w:rFonts w:hint="eastAsia" w:eastAsia="仿宋_GB2312"/>
          <w:sz w:val="32"/>
          <w:szCs w:val="32"/>
        </w:rPr>
        <w:t>比</w:t>
      </w:r>
      <w:r>
        <w:rPr>
          <w:rFonts w:eastAsia="仿宋_GB2312"/>
          <w:sz w:val="32"/>
          <w:szCs w:val="32"/>
        </w:rPr>
        <w:t>年初预算减少</w:t>
      </w:r>
      <w:r>
        <w:rPr>
          <w:rFonts w:hint="eastAsia" w:eastAsia="仿宋_GB2312"/>
          <w:sz w:val="32"/>
          <w:szCs w:val="32"/>
        </w:rPr>
        <w:t>0.38</w:t>
      </w:r>
      <w:r>
        <w:rPr>
          <w:rFonts w:eastAsia="仿宋_GB2312"/>
          <w:sz w:val="32"/>
          <w:szCs w:val="32"/>
        </w:rPr>
        <w:t>万元，降低</w:t>
      </w:r>
      <w:r>
        <w:rPr>
          <w:rFonts w:hint="eastAsia" w:eastAsia="仿宋_GB2312"/>
          <w:sz w:val="32"/>
          <w:szCs w:val="32"/>
        </w:rPr>
        <w:t>9.0</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color w:val="000000"/>
          <w:kern w:val="0"/>
          <w:sz w:val="32"/>
          <w:szCs w:val="32"/>
        </w:rPr>
        <w:t>认真落实中央八项规定精神和厉行节约要求</w:t>
      </w:r>
      <w:r>
        <w:rPr>
          <w:rFonts w:eastAsia="仿宋_GB2312"/>
          <w:sz w:val="32"/>
          <w:szCs w:val="32"/>
        </w:rPr>
        <w:t>；</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年度决算增加</w:t>
      </w:r>
      <w:r>
        <w:rPr>
          <w:rFonts w:hint="eastAsia" w:eastAsia="仿宋_GB2312"/>
          <w:sz w:val="32"/>
          <w:szCs w:val="32"/>
        </w:rPr>
        <w:t>2.01</w:t>
      </w:r>
      <w:r>
        <w:rPr>
          <w:rFonts w:eastAsia="仿宋_GB2312"/>
          <w:sz w:val="32"/>
          <w:szCs w:val="32"/>
        </w:rPr>
        <w:t>万元，增长</w:t>
      </w:r>
      <w:r>
        <w:rPr>
          <w:rFonts w:hint="eastAsia" w:eastAsia="仿宋_GB2312"/>
          <w:sz w:val="32"/>
          <w:szCs w:val="32"/>
        </w:rPr>
        <w:t>91.0</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sz w:val="32"/>
          <w:szCs w:val="32"/>
        </w:rPr>
        <w:t>2018年车辆进行了维修和保养、下乡检查比较多、增加了车辆保险费</w:t>
      </w:r>
      <w:r>
        <w:rPr>
          <w:rFonts w:eastAsia="仿宋_GB2312"/>
          <w:sz w:val="32"/>
          <w:szCs w:val="32"/>
        </w:rPr>
        <w:t>。</w:t>
      </w:r>
    </w:p>
    <w:p>
      <w:pPr>
        <w:adjustRightInd w:val="0"/>
        <w:snapToGrid w:val="0"/>
        <w:spacing w:line="584" w:lineRule="exact"/>
        <w:ind w:firstLine="643" w:firstLineChars="200"/>
        <w:rPr>
          <w:rFonts w:eastAsia="仿宋_GB2312"/>
          <w:sz w:val="32"/>
          <w:szCs w:val="32"/>
          <w:highlight w:val="yellow"/>
        </w:rPr>
      </w:pPr>
      <w:r>
        <w:rPr>
          <w:rFonts w:eastAsia="楷体_GB2312"/>
          <w:b/>
          <w:bCs/>
          <w:sz w:val="32"/>
          <w:szCs w:val="32"/>
        </w:rPr>
        <w:t>（三）公务接待费支出</w:t>
      </w:r>
      <w:r>
        <w:rPr>
          <w:rFonts w:hint="eastAsia" w:eastAsia="楷体_GB2312"/>
          <w:b/>
          <w:bCs/>
          <w:sz w:val="32"/>
          <w:szCs w:val="32"/>
        </w:rPr>
        <w:t>0</w:t>
      </w:r>
      <w:r>
        <w:rPr>
          <w:rFonts w:eastAsia="楷体_GB2312"/>
          <w:b/>
          <w:bCs/>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年度未发生公务接待经费支出。公务接待费支出较年初预算无增减变化；较201</w:t>
      </w:r>
      <w:r>
        <w:rPr>
          <w:rFonts w:hint="eastAsia" w:eastAsia="仿宋_GB2312"/>
          <w:sz w:val="32"/>
          <w:szCs w:val="32"/>
        </w:rPr>
        <w:t>7</w:t>
      </w:r>
      <w:r>
        <w:rPr>
          <w:rFonts w:eastAsia="仿宋_GB2312"/>
          <w:sz w:val="32"/>
          <w:szCs w:val="32"/>
        </w:rPr>
        <w:t>年度决算无增减变化。</w:t>
      </w:r>
    </w:p>
    <w:p>
      <w:pPr>
        <w:adjustRightInd w:val="0"/>
        <w:snapToGrid w:val="0"/>
        <w:spacing w:after="0" w:line="580" w:lineRule="exact"/>
        <w:ind w:firstLine="640" w:firstLineChars="200"/>
        <w:rPr>
          <w:rFonts w:ascii="黑体" w:eastAsia="黑体"/>
          <w:sz w:val="32"/>
          <w:szCs w:val="40"/>
        </w:rPr>
      </w:pPr>
      <w:r>
        <w:rPr>
          <w:rFonts w:hint="eastAsia" w:ascii="黑体" w:eastAsia="黑体"/>
          <w:sz w:val="32"/>
          <w:szCs w:val="40"/>
        </w:rPr>
        <w:t>六、预算绩效情况说明</w:t>
      </w:r>
    </w:p>
    <w:p>
      <w:pPr>
        <w:widowControl/>
        <w:spacing w:line="520" w:lineRule="exact"/>
        <w:ind w:firstLine="640" w:firstLineChars="200"/>
        <w:jc w:val="left"/>
        <w:rPr>
          <w:rFonts w:ascii="仿宋_GB2312" w:eastAsia="仿宋_GB2312" w:cs="DengXian-Regular"/>
          <w:sz w:val="32"/>
          <w:szCs w:val="32"/>
        </w:rPr>
      </w:pPr>
      <w:r>
        <w:rPr>
          <w:rFonts w:hint="eastAsia" w:ascii="仿宋_GB2312" w:eastAsia="仿宋_GB2312" w:cs="DengXian-Regular"/>
          <w:sz w:val="32"/>
          <w:szCs w:val="32"/>
        </w:rPr>
        <w:t>（一）预算绩效管理工作开展情况。</w:t>
      </w:r>
    </w:p>
    <w:p>
      <w:pPr>
        <w:widowControl/>
        <w:spacing w:line="52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单位根据《廊坊市广阳区关于加快构建现代公共文化服务体系的实施意见》、《廊坊市广阳区全民健身实施计划（2016-2020）》、《中华人民共和国旅游法》、《中华人民共和国文物保护法》以及文化、新闻出版各项法规条例，认真开展社会文化工作和社会体育工作，开展旅游管理工作，依法开展文化、新闻出版市场管理和“扫黄打非”工作，依法实施文物保护工作，促进文化体育事业和文化旅游产业健康繁荣发展，积极配合区委区政府中心工作，认真完成上级交办的各项工作任务。</w:t>
      </w:r>
    </w:p>
    <w:p>
      <w:pPr>
        <w:numPr>
          <w:ilvl w:val="0"/>
          <w:numId w:val="2"/>
        </w:num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项目绩效自评结果。</w:t>
      </w:r>
    </w:p>
    <w:p>
      <w:pPr>
        <w:adjustRightInd w:val="0"/>
        <w:snapToGrid w:val="0"/>
        <w:spacing w:after="0" w:line="580" w:lineRule="exact"/>
        <w:rPr>
          <w:rFonts w:ascii="仿宋_GB2312" w:hAnsi="仿宋_GB2312" w:eastAsia="仿宋_GB2312" w:cs="仿宋_GB2312"/>
          <w:kern w:val="0"/>
          <w:sz w:val="32"/>
          <w:szCs w:val="32"/>
        </w:rPr>
      </w:pPr>
      <w:r>
        <w:rPr>
          <w:rFonts w:hint="eastAsia" w:ascii="仿宋_GB2312" w:eastAsia="仿宋_GB2312" w:cs="DengXian-Regular"/>
          <w:sz w:val="32"/>
          <w:szCs w:val="32"/>
        </w:rPr>
        <w:t xml:space="preserve">   </w:t>
      </w:r>
      <w:r>
        <w:rPr>
          <w:rFonts w:hint="eastAsia" w:ascii="仿宋_GB2312" w:hAnsi="仿宋_GB2312" w:eastAsia="仿宋_GB2312" w:cs="仿宋_GB2312"/>
          <w:kern w:val="0"/>
          <w:sz w:val="32"/>
          <w:szCs w:val="32"/>
        </w:rPr>
        <w:t xml:space="preserve"> 我单位基本公共文化服务水平逐步提升，基本完成了年初工作目标，完成情况良好，但与人民群众日益增长的文化需求还有一些差距，希望政府加大投入，让更多老百姓享受文化惠民这一成果。</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（三）重点项目绩效评价结果。</w:t>
      </w:r>
    </w:p>
    <w:p>
      <w:pPr>
        <w:adjustRightInd w:val="0"/>
        <w:snapToGrid w:val="0"/>
        <w:spacing w:after="0"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1、群众对基本公共文化服务的满意度不断提高，彰显“公益性、基本性、均等性、便利性”，让群众在不断完善的公共文化服务中获得更多实惠。</w:t>
      </w:r>
    </w:p>
    <w:p>
      <w:pPr>
        <w:adjustRightInd w:val="0"/>
        <w:snapToGrid w:val="0"/>
        <w:spacing w:after="0"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广阳区青少年文化艺术节成得到社会各界、青少年及家长的一致好评，增强了广阳区的影响力和美誉度，成为广阳区特色文化品牌。良好的项目挖掘、传承有利于保护当地的非物质文化遗产，保存文化的多样性，促进社会的和谐稳定可持续发展。</w:t>
      </w:r>
    </w:p>
    <w:p>
      <w:pPr>
        <w:adjustRightInd w:val="0"/>
        <w:snapToGrid w:val="0"/>
        <w:spacing w:after="0"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3、给我区广大市民呈现美轮美奂的灯光造型，大型激光水幕秀，炫酷的音乐喷泉，成为市区最大的旅游主题活动，树立我区旅游品牌形象。</w:t>
      </w:r>
    </w:p>
    <w:p>
      <w:pPr>
        <w:pStyle w:val="3"/>
        <w:spacing w:before="0" w:after="0" w:line="580" w:lineRule="exact"/>
        <w:ind w:firstLine="640" w:firstLineChars="200"/>
        <w:rPr>
          <w:rFonts w:ascii="黑体" w:eastAsia="黑体" w:cs="Times New Roman"/>
          <w:b w:val="0"/>
          <w:bCs w:val="0"/>
        </w:rPr>
      </w:pPr>
      <w:r>
        <w:rPr>
          <w:rFonts w:hint="eastAsia" w:ascii="黑体" w:eastAsia="黑体" w:cs="Times New Roman"/>
          <w:b w:val="0"/>
          <w:bCs w:val="0"/>
        </w:rPr>
        <w:t>七、其他重要事项的说明</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（一）机关运行经费情况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本部门2018年度机关运行经费支出4.22万元，比年初预算数减少0.38万元，降低9.0</w:t>
      </w:r>
      <w:r>
        <w:rPr>
          <w:rFonts w:eastAsia="仿宋_GB2312"/>
          <w:sz w:val="32"/>
          <w:szCs w:val="32"/>
        </w:rPr>
        <w:t>%</w:t>
      </w:r>
      <w:r>
        <w:rPr>
          <w:rFonts w:hint="eastAsia" w:ascii="仿宋_GB2312" w:eastAsia="仿宋_GB2312" w:cs="DengXian-Regular"/>
          <w:sz w:val="32"/>
          <w:szCs w:val="32"/>
        </w:rPr>
        <w:t>。</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color w:val="000000"/>
          <w:kern w:val="0"/>
          <w:sz w:val="32"/>
          <w:szCs w:val="32"/>
        </w:rPr>
        <w:t>认真落实中央八项规定精神和厉行节约要求</w:t>
      </w:r>
      <w:r>
        <w:rPr>
          <w:rFonts w:hint="eastAsia" w:ascii="仿宋_GB2312" w:eastAsia="仿宋_GB2312" w:cs="DengXian-Regular"/>
          <w:sz w:val="32"/>
          <w:szCs w:val="32"/>
        </w:rPr>
        <w:t>。</w:t>
      </w:r>
      <w:r>
        <w:rPr>
          <w:rFonts w:eastAsia="仿宋_GB2312"/>
          <w:sz w:val="32"/>
          <w:szCs w:val="32"/>
        </w:rPr>
        <w:t>较201</w:t>
      </w:r>
      <w:r>
        <w:rPr>
          <w:rFonts w:hint="eastAsia" w:eastAsia="仿宋_GB2312"/>
          <w:sz w:val="32"/>
          <w:szCs w:val="32"/>
        </w:rPr>
        <w:t>7</w:t>
      </w:r>
      <w:r>
        <w:rPr>
          <w:rFonts w:eastAsia="仿宋_GB2312"/>
          <w:sz w:val="32"/>
          <w:szCs w:val="32"/>
        </w:rPr>
        <w:t>年度决算增加</w:t>
      </w:r>
      <w:r>
        <w:rPr>
          <w:rFonts w:hint="eastAsia" w:eastAsia="仿宋_GB2312"/>
          <w:sz w:val="32"/>
          <w:szCs w:val="32"/>
        </w:rPr>
        <w:t>2.01</w:t>
      </w:r>
      <w:r>
        <w:rPr>
          <w:rFonts w:eastAsia="仿宋_GB2312"/>
          <w:sz w:val="32"/>
          <w:szCs w:val="32"/>
        </w:rPr>
        <w:t>万元，增长</w:t>
      </w:r>
      <w:r>
        <w:rPr>
          <w:rFonts w:hint="eastAsia" w:eastAsia="仿宋_GB2312"/>
          <w:sz w:val="32"/>
          <w:szCs w:val="32"/>
        </w:rPr>
        <w:t>91.0</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sz w:val="32"/>
          <w:szCs w:val="32"/>
        </w:rPr>
        <w:t>2018年车辆进行了维修和保养、下乡检查比较多、增加了车辆保险费。</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（二）政府采购情况</w:t>
      </w:r>
    </w:p>
    <w:p>
      <w:pPr>
        <w:widowControl/>
        <w:spacing w:after="0" w:line="580" w:lineRule="exact"/>
        <w:ind w:firstLine="640" w:firstLineChars="200"/>
        <w:jc w:val="left"/>
        <w:rPr>
          <w:rFonts w:ascii="仿宋_GB2312" w:eastAsia="仿宋_GB2312" w:cs="DengXian-Regular"/>
          <w:sz w:val="32"/>
          <w:szCs w:val="32"/>
        </w:rPr>
      </w:pPr>
      <w:r>
        <w:rPr>
          <w:rFonts w:hint="eastAsia" w:ascii="仿宋_GB2312" w:eastAsia="仿宋_GB2312" w:cs="DengXian-Regular"/>
          <w:sz w:val="32"/>
          <w:szCs w:val="32"/>
        </w:rPr>
        <w:t>本部门2018年度政府采购支出总额572.11万元，从采购类型来看，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rPr>
        <w:t>572.11</w:t>
      </w:r>
      <w:r>
        <w:rPr>
          <w:rFonts w:ascii="仿宋_GB2312" w:hAnsi="仿宋_GB2312" w:eastAsia="仿宋_GB2312" w:cs="仿宋_GB2312"/>
          <w:color w:val="000000"/>
          <w:kern w:val="0"/>
          <w:sz w:val="32"/>
          <w:szCs w:val="32"/>
        </w:rPr>
        <w:t>万元、政府采购工程支出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万元、政府采购服务支出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万元，占政府采购支出总额的 </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（三）国有资产占用情况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截至2018年12月31日，本部门共有车辆2辆，和上年相比无增减变化。其中，副部（省）级及以上领导用车0辆，主要领导干部用车0辆，机要通信用车1辆，应急保障用车0辆，执法执勤用车1辆，特种专业技术用车0辆，离退休干部用车0辆，其他用车0辆；单位价值</w:t>
      </w:r>
      <w:r>
        <w:rPr>
          <w:rFonts w:hint="eastAsia" w:ascii="仿宋_GB2312" w:hAnsi="TimesNewRomanPSMT" w:eastAsia="仿宋_GB2312" w:cs="TimesNewRomanPSMT"/>
          <w:sz w:val="32"/>
          <w:szCs w:val="32"/>
        </w:rPr>
        <w:t>50</w:t>
      </w:r>
      <w:r>
        <w:rPr>
          <w:rFonts w:hint="eastAsia" w:ascii="仿宋_GB2312" w:eastAsia="仿宋_GB2312" w:cs="DengXian-Regular"/>
          <w:sz w:val="32"/>
          <w:szCs w:val="32"/>
        </w:rPr>
        <w:t>万元以上通用设备0台（套），和上年相比无增减变化 ，单位价值</w:t>
      </w:r>
      <w:r>
        <w:rPr>
          <w:rFonts w:hint="eastAsia" w:ascii="仿宋_GB2312" w:hAnsi="TimesNewRomanPSMT" w:eastAsia="仿宋_GB2312" w:cs="TimesNewRomanPSMT"/>
          <w:sz w:val="32"/>
          <w:szCs w:val="32"/>
        </w:rPr>
        <w:t>100</w:t>
      </w:r>
      <w:r>
        <w:rPr>
          <w:rFonts w:hint="eastAsia" w:ascii="仿宋_GB2312" w:eastAsia="仿宋_GB2312" w:cs="DengXian-Regular"/>
          <w:sz w:val="32"/>
          <w:szCs w:val="32"/>
        </w:rPr>
        <w:t>万元以上专用设备0台（套）和上年相比无增减变化。</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（四）其他需要说明的情况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1、本部门2018年度</w:t>
      </w:r>
      <w:r>
        <w:rPr>
          <w:rFonts w:ascii="仿宋_GB2312" w:eastAsia="仿宋_GB2312" w:cs="DengXian-Regular"/>
          <w:sz w:val="32"/>
          <w:szCs w:val="32"/>
        </w:rPr>
        <w:t>国有资本经营预算</w:t>
      </w:r>
      <w:r>
        <w:rPr>
          <w:rFonts w:hint="eastAsia" w:ascii="仿宋_GB2312" w:eastAsia="仿宋_GB2312" w:cs="DengXian-Regular"/>
          <w:sz w:val="32"/>
          <w:szCs w:val="32"/>
        </w:rPr>
        <w:t>无收支及结转结余情况，故</w:t>
      </w:r>
      <w:r>
        <w:rPr>
          <w:rFonts w:eastAsia="仿宋_GB2312"/>
          <w:sz w:val="32"/>
          <w:szCs w:val="32"/>
        </w:rPr>
        <w:t>国有资本经营预算</w:t>
      </w:r>
      <w:r>
        <w:rPr>
          <w:rFonts w:hint="eastAsia" w:eastAsia="仿宋_GB2312"/>
          <w:sz w:val="32"/>
          <w:szCs w:val="32"/>
        </w:rPr>
        <w:t>财政拨款</w:t>
      </w:r>
      <w:r>
        <w:rPr>
          <w:rFonts w:eastAsia="仿宋_GB2312"/>
          <w:sz w:val="32"/>
          <w:szCs w:val="32"/>
        </w:rPr>
        <w:t>支出决算表</w:t>
      </w:r>
      <w:r>
        <w:rPr>
          <w:rFonts w:hint="eastAsia" w:ascii="仿宋_GB2312" w:eastAsia="仿宋_GB2312" w:cs="DengXian-Regular"/>
          <w:sz w:val="32"/>
          <w:szCs w:val="32"/>
        </w:rPr>
        <w:t>以空表列示。</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2、由于决算公开表格中金额数值应当保留两位小数，公开数据为四舍五入计算结果，个别数据合计项与分项之和存在小数点后差额，特此说明。</w:t>
      </w:r>
    </w:p>
    <w:p>
      <w:pPr>
        <w:widowControl/>
        <w:spacing w:after="0" w:line="580" w:lineRule="exact"/>
        <w:ind w:firstLine="883" w:firstLineChars="200"/>
        <w:jc w:val="left"/>
        <w:rPr>
          <w:rFonts w:cs="MS-UIGothic,Bold" w:asciiTheme="majorEastAsia" w:hAnsiTheme="majorEastAsia" w:eastAsiaTheme="majorEastAsia"/>
          <w:b/>
          <w:bCs/>
          <w:kern w:val="0"/>
          <w:sz w:val="44"/>
          <w:szCs w:val="44"/>
        </w:rPr>
        <w:sectPr>
          <w:pgSz w:w="11906" w:h="16838"/>
          <w:pgMar w:top="2098" w:right="1474" w:bottom="1984" w:left="1588" w:header="851" w:footer="992" w:gutter="0"/>
          <w:cols w:space="0" w:num="1"/>
          <w:docGrid w:type="lines" w:linePitch="312" w:charSpace="0"/>
        </w:sectPr>
      </w:pPr>
    </w:p>
    <w:p>
      <w:pPr>
        <w:widowControl/>
        <w:spacing w:line="1200" w:lineRule="exact"/>
        <w:jc w:val="center"/>
        <w:rPr>
          <w:rFonts w:hAnsi="宋体" w:asciiTheme="minorEastAsia" w:eastAsiaTheme="minorEastAsia"/>
          <w:color w:val="000000" w:themeColor="text1"/>
          <w:sz w:val="96"/>
          <w:szCs w:val="96"/>
        </w:rPr>
      </w:pPr>
    </w:p>
    <w:p>
      <w:pPr>
        <w:widowControl/>
        <w:spacing w:line="1200" w:lineRule="exact"/>
        <w:jc w:val="center"/>
        <w:rPr>
          <w:rFonts w:hAnsi="宋体" w:asciiTheme="minorEastAsia" w:eastAsiaTheme="minorEastAsia"/>
          <w:color w:val="000000" w:themeColor="text1"/>
          <w:sz w:val="96"/>
          <w:szCs w:val="96"/>
        </w:rPr>
      </w:pPr>
    </w:p>
    <w:p>
      <w:pPr>
        <w:widowControl/>
        <w:spacing w:line="1200" w:lineRule="exact"/>
        <w:jc w:val="center"/>
        <w:rPr>
          <w:rFonts w:hAnsi="宋体" w:asciiTheme="minorEastAsia" w:eastAsiaTheme="minorEastAsia"/>
          <w:color w:val="000000" w:themeColor="text1"/>
          <w:sz w:val="96"/>
          <w:szCs w:val="96"/>
        </w:rPr>
      </w:pPr>
    </w:p>
    <w:p>
      <w:pPr>
        <w:widowControl/>
        <w:spacing w:line="1200" w:lineRule="exact"/>
        <w:jc w:val="center"/>
        <w:rPr>
          <w:rFonts w:hAnsi="宋体" w:asciiTheme="minorEastAsia" w:eastAsiaTheme="minorEastAsia"/>
          <w:color w:val="000000" w:themeColor="text1"/>
          <w:sz w:val="96"/>
          <w:szCs w:val="96"/>
        </w:rPr>
      </w:pPr>
      <w:r>
        <w:rPr>
          <w:rFonts w:hint="eastAsia" w:hAnsi="宋体" w:asciiTheme="minorEastAsia" w:eastAsiaTheme="minorEastAsia"/>
          <w:color w:val="000000" w:themeColor="text1"/>
          <w:sz w:val="96"/>
          <w:szCs w:val="96"/>
        </w:rPr>
        <w:t>第四部分</w:t>
      </w:r>
    </w:p>
    <w:p>
      <w:pPr>
        <w:widowControl/>
        <w:spacing w:line="1200" w:lineRule="exact"/>
        <w:jc w:val="center"/>
        <w:rPr>
          <w:color w:val="000000" w:themeColor="text1"/>
          <w:sz w:val="96"/>
          <w:szCs w:val="96"/>
        </w:rPr>
      </w:pPr>
      <w:r>
        <w:rPr>
          <w:rFonts w:hint="eastAsia" w:hAnsi="宋体" w:asciiTheme="minorEastAsia" w:eastAsiaTheme="minorEastAsia"/>
          <w:color w:val="000000" w:themeColor="text1"/>
          <w:sz w:val="96"/>
          <w:szCs w:val="96"/>
        </w:rPr>
        <w:t>名词解释</w:t>
      </w: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（一）财政拨款收入：</w:t>
      </w:r>
      <w:r>
        <w:rPr>
          <w:rFonts w:hint="eastAsia" w:ascii="仿宋_GB2312" w:eastAsia="仿宋_GB2312" w:hAnsiTheme="majorEastAsia"/>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（二）事业收入：</w:t>
      </w:r>
      <w:r>
        <w:rPr>
          <w:rFonts w:hint="eastAsia" w:ascii="仿宋_GB2312" w:eastAsia="仿宋_GB2312" w:hAnsiTheme="majorEastAsia"/>
          <w:color w:val="000000"/>
          <w:kern w:val="0"/>
          <w:sz w:val="32"/>
          <w:szCs w:val="32"/>
        </w:rPr>
        <w:t>指事业单位开展专业业务活动及辅助活动所取得的收入。</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（三）其他收入：</w:t>
      </w:r>
      <w:r>
        <w:rPr>
          <w:rFonts w:hint="eastAsia" w:ascii="仿宋_GB2312" w:eastAsia="仿宋_GB2312" w:hAnsiTheme="majorEastAsia"/>
          <w:color w:val="000000"/>
          <w:kern w:val="0"/>
          <w:sz w:val="32"/>
          <w:szCs w:val="32"/>
        </w:rPr>
        <w:t>指除上述“财政拨款收入”“事业收入”“经营收入”等以外的收入。</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（四）用事业基金弥补收支差额：</w:t>
      </w:r>
      <w:r>
        <w:rPr>
          <w:rFonts w:hint="eastAsia" w:ascii="仿宋_GB2312" w:eastAsia="仿宋_GB2312" w:hAnsiTheme="major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（五）年初结转和结余：</w:t>
      </w:r>
      <w:r>
        <w:rPr>
          <w:rFonts w:hint="eastAsia" w:ascii="仿宋_GB2312" w:eastAsia="仿宋_GB2312" w:hAnsiTheme="majorEastAsia"/>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（六）结余分配：</w:t>
      </w:r>
      <w:r>
        <w:rPr>
          <w:rFonts w:hint="eastAsia" w:ascii="仿宋_GB2312" w:eastAsia="仿宋_GB2312" w:hAnsiTheme="majorEastAsia"/>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（七）年末结转和结余：</w:t>
      </w:r>
      <w:r>
        <w:rPr>
          <w:rFonts w:hint="eastAsia" w:ascii="仿宋_GB2312" w:eastAsia="仿宋_GB2312" w:hAnsiTheme="majorEastAsia"/>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（八）基本支出：</w:t>
      </w:r>
      <w:r>
        <w:rPr>
          <w:rFonts w:hint="eastAsia" w:ascii="仿宋_GB2312" w:eastAsia="仿宋_GB2312" w:hAnsiTheme="majorEastAsia"/>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（九）项目支出：</w:t>
      </w:r>
      <w:r>
        <w:rPr>
          <w:rFonts w:hint="eastAsia" w:ascii="仿宋_GB2312" w:eastAsia="仿宋_GB2312" w:hAnsiTheme="majorEastAsia"/>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（十）资本性支出（基本建设）：</w:t>
      </w:r>
      <w:r>
        <w:rPr>
          <w:rFonts w:hint="eastAsia" w:ascii="仿宋_GB2312" w:eastAsia="仿宋_GB2312" w:hAnsiTheme="majorEastAsia"/>
          <w:color w:val="000000"/>
          <w:kern w:val="0"/>
          <w:sz w:val="32"/>
          <w:szCs w:val="32"/>
        </w:rPr>
        <w:t>填列切块由发展改革部门安排的基本建设支出，对企业补助支出不在此科目反映。</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（十一）资本性支出：</w:t>
      </w:r>
      <w:r>
        <w:rPr>
          <w:rFonts w:hint="eastAsia" w:ascii="仿宋_GB2312" w:eastAsia="仿宋_GB2312" w:hAnsiTheme="majorEastAsia"/>
          <w:color w:val="000000"/>
          <w:kern w:val="0"/>
          <w:sz w:val="32"/>
          <w:szCs w:val="32"/>
        </w:rPr>
        <w:t>填列各单位安排的资本性支出。切块由发展改革部门安排的基本建设支出不在此科目反映。</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（十二）“三公”经费：</w:t>
      </w:r>
      <w:r>
        <w:rPr>
          <w:rFonts w:hint="eastAsia" w:ascii="仿宋_GB2312" w:eastAsia="仿宋_GB2312" w:hAnsiTheme="major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（十三）其他交通费用：</w:t>
      </w:r>
      <w:r>
        <w:rPr>
          <w:rFonts w:hint="eastAsia" w:ascii="仿宋_GB2312" w:eastAsia="仿宋_GB2312" w:hAnsiTheme="majorEastAsia"/>
          <w:color w:val="000000"/>
          <w:kern w:val="0"/>
          <w:sz w:val="32"/>
          <w:szCs w:val="32"/>
        </w:rPr>
        <w:t>填列单位除公务用车运行维护费以外的其他交通费用。如公务交通补贴、租车费用、出租车费用、飞机、船舶等的燃料费、维修费、保险费等。</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（十四）公务用车购置：</w:t>
      </w:r>
      <w:r>
        <w:rPr>
          <w:rFonts w:hint="eastAsia" w:ascii="仿宋_GB2312" w:eastAsia="仿宋_GB2312" w:hAnsiTheme="majorEastAsia"/>
          <w:color w:val="000000"/>
          <w:kern w:val="0"/>
          <w:sz w:val="32"/>
          <w:szCs w:val="32"/>
        </w:rPr>
        <w:t>填列单位公务用车购置支出（含车辆购置税、牌照费）。</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（十五）其他交通工具购置：</w:t>
      </w:r>
      <w:r>
        <w:rPr>
          <w:rFonts w:hint="eastAsia" w:ascii="仿宋_GB2312" w:eastAsia="仿宋_GB2312" w:hAnsiTheme="majorEastAsia"/>
          <w:color w:val="000000"/>
          <w:kern w:val="0"/>
          <w:sz w:val="32"/>
          <w:szCs w:val="32"/>
        </w:rPr>
        <w:t>填列单位除公务用车外的其他各类交通工具（如船舶、飞机）购置支出（含车辆购置税、牌照费）。</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（十六）机关运行经费：</w:t>
      </w:r>
      <w:r>
        <w:rPr>
          <w:rFonts w:hint="eastAsia" w:ascii="仿宋_GB2312" w:eastAsia="仿宋_GB2312" w:hAnsiTheme="major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643" w:firstLineChars="200"/>
        <w:rPr>
          <w:rFonts w:ascii="仿宋_GB2312" w:eastAsia="仿宋_GB2312" w:cs="ArialUnicodeMS" w:hAnsiTheme="minorHAnsi"/>
          <w:kern w:val="0"/>
          <w:sz w:val="32"/>
          <w:szCs w:val="32"/>
        </w:rPr>
      </w:pPr>
      <w:r>
        <w:rPr>
          <w:rFonts w:hint="eastAsia" w:ascii="仿宋_GB2312" w:eastAsia="仿宋_GB2312" w:hAnsiTheme="majorEastAsia"/>
          <w:b/>
          <w:bCs/>
          <w:color w:val="000000"/>
          <w:kern w:val="0"/>
          <w:sz w:val="32"/>
          <w:szCs w:val="32"/>
        </w:rPr>
        <w:t>（十七）经费形式:</w:t>
      </w:r>
      <w:r>
        <w:rPr>
          <w:rFonts w:hint="eastAsia" w:ascii="仿宋_GB2312" w:eastAsia="仿宋_GB2312" w:hAnsiTheme="majorEastAsia"/>
          <w:color w:val="000000"/>
          <w:kern w:val="0"/>
          <w:sz w:val="32"/>
          <w:szCs w:val="32"/>
        </w:rPr>
        <w:t>按照经费来源，</w:t>
      </w:r>
      <w:r>
        <w:rPr>
          <w:rFonts w:hint="eastAsia" w:ascii="仿宋_GB2312" w:eastAsia="仿宋_GB2312" w:cs="ArialUnicodeMS" w:hAnsiTheme="minorHAnsi"/>
          <w:kern w:val="0"/>
          <w:sz w:val="32"/>
          <w:szCs w:val="32"/>
        </w:rPr>
        <w:t>可分为财政拨款、财政性资金基本保证、财政性资金定额或定项补助、财政性资金零补助四类。</w:t>
      </w:r>
    </w:p>
    <w:p>
      <w:pPr>
        <w:widowControl/>
        <w:spacing w:after="0" w:line="560" w:lineRule="exact"/>
        <w:ind w:firstLine="640" w:firstLineChars="200"/>
        <w:rPr>
          <w:rFonts w:ascii="仿宋_GB2312" w:eastAsia="仿宋_GB2312" w:cs="ArialUnicodeMS" w:hAnsiTheme="minorHAnsi"/>
          <w:kern w:val="0"/>
          <w:sz w:val="32"/>
          <w:szCs w:val="32"/>
        </w:rPr>
      </w:pPr>
    </w:p>
    <w:p>
      <w:pPr>
        <w:widowControl/>
        <w:spacing w:after="0" w:line="560" w:lineRule="exact"/>
        <w:ind w:firstLine="640" w:firstLineChars="200"/>
        <w:rPr>
          <w:rFonts w:ascii="仿宋_GB2312" w:eastAsia="仿宋_GB2312" w:cs="ArialUnicodeMS" w:hAnsiTheme="minorHAnsi"/>
          <w:kern w:val="0"/>
          <w:sz w:val="32"/>
          <w:szCs w:val="32"/>
        </w:rPr>
      </w:pPr>
    </w:p>
    <w:p>
      <w:pPr>
        <w:widowControl/>
        <w:spacing w:after="0" w:line="560" w:lineRule="exact"/>
        <w:ind w:firstLine="640" w:firstLineChars="200"/>
        <w:rPr>
          <w:rFonts w:ascii="仿宋_GB2312" w:eastAsia="仿宋_GB2312" w:cs="ArialUnicodeMS" w:hAnsiTheme="minorHAnsi"/>
          <w:kern w:val="0"/>
          <w:sz w:val="32"/>
          <w:szCs w:val="32"/>
        </w:rPr>
      </w:pPr>
    </w:p>
    <w:p>
      <w:pPr>
        <w:widowControl/>
        <w:spacing w:after="0" w:line="560" w:lineRule="exact"/>
        <w:ind w:firstLine="640" w:firstLineChars="200"/>
        <w:rPr>
          <w:rFonts w:ascii="仿宋_GB2312" w:eastAsia="仿宋_GB2312" w:cs="ArialUnicodeMS" w:hAnsiTheme="minorHAnsi"/>
          <w:kern w:val="0"/>
          <w:sz w:val="32"/>
          <w:szCs w:val="32"/>
        </w:rPr>
      </w:pPr>
    </w:p>
    <w:p>
      <w:pPr>
        <w:widowControl/>
        <w:spacing w:after="0" w:line="560" w:lineRule="exact"/>
        <w:ind w:firstLine="640" w:firstLineChars="200"/>
        <w:rPr>
          <w:rFonts w:ascii="仿宋_GB2312" w:eastAsia="仿宋_GB2312" w:cs="ArialUnicodeMS" w:hAnsiTheme="minorHAnsi"/>
          <w:kern w:val="0"/>
          <w:sz w:val="32"/>
          <w:szCs w:val="32"/>
        </w:rPr>
      </w:pPr>
    </w:p>
    <w:p>
      <w:pPr>
        <w:widowControl/>
        <w:spacing w:after="0" w:line="560" w:lineRule="exact"/>
        <w:ind w:firstLine="640" w:firstLineChars="200"/>
        <w:rPr>
          <w:rFonts w:ascii="仿宋_GB2312" w:eastAsia="仿宋_GB2312" w:cs="ArialUnicodeMS" w:hAnsiTheme="minorHAnsi"/>
          <w:kern w:val="0"/>
          <w:sz w:val="32"/>
          <w:szCs w:val="32"/>
        </w:rPr>
      </w:pPr>
    </w:p>
    <w:p>
      <w:pPr>
        <w:widowControl/>
        <w:spacing w:after="0" w:line="560" w:lineRule="exact"/>
        <w:ind w:firstLine="640" w:firstLineChars="200"/>
        <w:rPr>
          <w:rFonts w:ascii="仿宋_GB2312" w:eastAsia="仿宋_GB2312" w:cs="ArialUnicodeMS" w:hAnsiTheme="minorHAnsi"/>
          <w:kern w:val="0"/>
          <w:sz w:val="32"/>
          <w:szCs w:val="32"/>
        </w:rPr>
      </w:pPr>
    </w:p>
    <w:p>
      <w:pPr>
        <w:widowControl/>
        <w:spacing w:after="0" w:line="560" w:lineRule="exact"/>
        <w:ind w:firstLine="640" w:firstLineChars="200"/>
        <w:rPr>
          <w:rFonts w:ascii="仿宋_GB2312" w:eastAsia="仿宋_GB2312" w:cs="ArialUnicodeMS" w:hAnsiTheme="minorHAnsi"/>
          <w:kern w:val="0"/>
          <w:sz w:val="32"/>
          <w:szCs w:val="32"/>
        </w:rPr>
      </w:pPr>
    </w:p>
    <w:p>
      <w:pPr>
        <w:widowControl/>
        <w:spacing w:after="0" w:line="560" w:lineRule="exact"/>
        <w:ind w:firstLine="640" w:firstLineChars="200"/>
        <w:rPr>
          <w:rFonts w:ascii="仿宋_GB2312" w:eastAsia="仿宋_GB2312" w:cs="ArialUnicodeMS" w:hAnsiTheme="minorHAnsi"/>
          <w:kern w:val="0"/>
          <w:sz w:val="32"/>
          <w:szCs w:val="32"/>
        </w:rPr>
      </w:pPr>
    </w:p>
    <w:p>
      <w:pPr>
        <w:widowControl/>
        <w:spacing w:after="0" w:line="560" w:lineRule="exact"/>
        <w:rPr>
          <w:rFonts w:ascii="仿宋_GB2312" w:eastAsia="仿宋_GB2312" w:cs="ArialUnicodeMS" w:hAnsiTheme="minorHAnsi"/>
          <w:kern w:val="0"/>
          <w:sz w:val="32"/>
          <w:szCs w:val="32"/>
        </w:rPr>
      </w:pPr>
    </w:p>
    <w:sectPr>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8BA339-3907-4EE6-BDDF-1A2EA577148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73C0BEFA-A3A0-48B1-AB3A-A770DAFD562C}"/>
  </w:font>
  <w:font w:name="Cambria">
    <w:panose1 w:val="02040503050406030204"/>
    <w:charset w:val="00"/>
    <w:family w:val="roman"/>
    <w:pitch w:val="default"/>
    <w:sig w:usb0="E00002FF" w:usb1="400004FF" w:usb2="00000000" w:usb3="00000000" w:csb0="2000019F" w:csb1="00000000"/>
    <w:embedRegular r:id="rId3" w:fontKey="{4095704E-D412-4427-8F76-80E58CD88D73}"/>
  </w:font>
  <w:font w:name="仿宋_GB2312">
    <w:panose1 w:val="02010609030101010101"/>
    <w:charset w:val="86"/>
    <w:family w:val="modern"/>
    <w:pitch w:val="default"/>
    <w:sig w:usb0="00000001" w:usb1="080E0000" w:usb2="00000000" w:usb3="00000000" w:csb0="00040000" w:csb1="00000000"/>
    <w:embedRegular r:id="rId4" w:fontKey="{59A48BAB-95CE-494E-A2DD-4AD3866622BB}"/>
  </w:font>
  <w:font w:name="ArialUnicodeMS">
    <w:altName w:val="Malgun Gothic"/>
    <w:panose1 w:val="00000000000000000000"/>
    <w:charset w:val="81"/>
    <w:family w:val="auto"/>
    <w:pitch w:val="default"/>
    <w:sig w:usb0="00000000" w:usb1="00000000" w:usb2="00000010" w:usb3="00000000" w:csb0="00080001" w:csb1="00000000"/>
    <w:embedRegular r:id="rId5" w:fontKey="{05D13D02-2D6A-4F0B-B300-39101A472EB0}"/>
  </w:font>
  <w:font w:name="仿宋">
    <w:panose1 w:val="02010609060101010101"/>
    <w:charset w:val="86"/>
    <w:family w:val="modern"/>
    <w:pitch w:val="default"/>
    <w:sig w:usb0="800002BF" w:usb1="38CF7CFA" w:usb2="00000016" w:usb3="00000000" w:csb0="00040001" w:csb1="00000000"/>
    <w:embedRegular r:id="rId6" w:fontKey="{3BE93D15-D911-482A-8610-195CBFC3688F}"/>
  </w:font>
  <w:font w:name="MS-UIGothic,Bold">
    <w:altName w:val="Malgun Gothic"/>
    <w:panose1 w:val="00000000000000000000"/>
    <w:charset w:val="81"/>
    <w:family w:val="auto"/>
    <w:pitch w:val="default"/>
    <w:sig w:usb0="00000000" w:usb1="00000000" w:usb2="00000010" w:usb3="00000000" w:csb0="00080000" w:csb1="00000000"/>
    <w:embedRegular r:id="rId7" w:fontKey="{607BA939-00CA-4820-865E-D393379F8BDB}"/>
  </w:font>
  <w:font w:name="DengXian-Regular">
    <w:altName w:val="宋体"/>
    <w:panose1 w:val="00000000000000000000"/>
    <w:charset w:val="86"/>
    <w:family w:val="auto"/>
    <w:pitch w:val="default"/>
    <w:sig w:usb0="00000000" w:usb1="00000000" w:usb2="00000010" w:usb3="00000000" w:csb0="00040001" w:csb1="00000000"/>
    <w:embedRegular r:id="rId8" w:fontKey="{8A24354E-581D-40FC-861C-51C23F6336A0}"/>
  </w:font>
  <w:font w:name="楷体_GB2312">
    <w:panose1 w:val="02010609030101010101"/>
    <w:charset w:val="86"/>
    <w:family w:val="modern"/>
    <w:pitch w:val="default"/>
    <w:sig w:usb0="00000001" w:usb1="080E0000" w:usb2="00000000" w:usb3="00000000" w:csb0="00040000" w:csb1="00000000"/>
    <w:embedRegular r:id="rId9" w:fontKey="{1B09343E-BD43-4E05-B8C9-B07908305040}"/>
  </w:font>
  <w:font w:name="DengXian-Bold">
    <w:altName w:val="宋体"/>
    <w:panose1 w:val="00000000000000000000"/>
    <w:charset w:val="86"/>
    <w:family w:val="auto"/>
    <w:pitch w:val="default"/>
    <w:sig w:usb0="00000000" w:usb1="00000000" w:usb2="00000010" w:usb3="00000000" w:csb0="00040001" w:csb1="00000000"/>
    <w:embedRegular r:id="rId10" w:fontKey="{27B0A633-51C5-4BC4-BD72-553B113EE851}"/>
  </w:font>
  <w:font w:name="TimesNewRomanPSMT">
    <w:altName w:val="Arial"/>
    <w:panose1 w:val="00000000000000000000"/>
    <w:charset w:val="00"/>
    <w:family w:val="swiss"/>
    <w:pitch w:val="default"/>
    <w:sig w:usb0="00000000" w:usb1="00000000" w:usb2="00000000" w:usb3="00000000" w:csb0="00000001" w:csb1="00000000"/>
  </w:font>
  <w:font w:name="Malgun Gothic">
    <w:panose1 w:val="020B0503020000020004"/>
    <w:charset w:val="81"/>
    <w:family w:val="auto"/>
    <w:pitch w:val="default"/>
    <w:sig w:usb0="900002AF" w:usb1="01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pPr>
      <w:r>
        <w:separator/>
      </w:r>
    </w:p>
  </w:footnote>
  <w:footnote w:type="continuationSeparator" w:id="1">
    <w:p>
      <w:pPr>
        <w:spacing w:before="0" w:after="0" w:line="48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D59722"/>
    <w:multiLevelType w:val="singleLevel"/>
    <w:tmpl w:val="F2D59722"/>
    <w:lvl w:ilvl="0" w:tentative="0">
      <w:start w:val="2"/>
      <w:numFmt w:val="chineseCounting"/>
      <w:suff w:val="nothing"/>
      <w:lvlText w:val="（%1）"/>
      <w:lvlJc w:val="left"/>
      <w:rPr>
        <w:rFonts w:hint="eastAsia"/>
      </w:rPr>
    </w:lvl>
  </w:abstractNum>
  <w:abstractNum w:abstractNumId="1">
    <w:nsid w:val="45DB9A87"/>
    <w:multiLevelType w:val="singleLevel"/>
    <w:tmpl w:val="45DB9A87"/>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I1NzdlZjVkMzhkN2M2NjI3YzkwZjgxYTYwNzY3NWYifQ=="/>
  </w:docVars>
  <w:rsids>
    <w:rsidRoot w:val="003C1413"/>
    <w:rsid w:val="00020FAF"/>
    <w:rsid w:val="00022474"/>
    <w:rsid w:val="00024E7F"/>
    <w:rsid w:val="000475A0"/>
    <w:rsid w:val="00067693"/>
    <w:rsid w:val="000838C3"/>
    <w:rsid w:val="000B2446"/>
    <w:rsid w:val="000D7C65"/>
    <w:rsid w:val="000E2F81"/>
    <w:rsid w:val="00101F8D"/>
    <w:rsid w:val="00102E19"/>
    <w:rsid w:val="00117946"/>
    <w:rsid w:val="00117E2C"/>
    <w:rsid w:val="00146C47"/>
    <w:rsid w:val="00152FB8"/>
    <w:rsid w:val="00176658"/>
    <w:rsid w:val="0018239E"/>
    <w:rsid w:val="001A63C8"/>
    <w:rsid w:val="001B3410"/>
    <w:rsid w:val="001B7503"/>
    <w:rsid w:val="001C030D"/>
    <w:rsid w:val="001C4A84"/>
    <w:rsid w:val="001E5902"/>
    <w:rsid w:val="001E7CF9"/>
    <w:rsid w:val="00233705"/>
    <w:rsid w:val="0023431D"/>
    <w:rsid w:val="00236BB5"/>
    <w:rsid w:val="00246D99"/>
    <w:rsid w:val="00257266"/>
    <w:rsid w:val="00261F83"/>
    <w:rsid w:val="00262306"/>
    <w:rsid w:val="00275CA2"/>
    <w:rsid w:val="00276144"/>
    <w:rsid w:val="002A65A5"/>
    <w:rsid w:val="002C04C4"/>
    <w:rsid w:val="002D08B0"/>
    <w:rsid w:val="002D1AE3"/>
    <w:rsid w:val="002F2ECE"/>
    <w:rsid w:val="00341C8F"/>
    <w:rsid w:val="0035463A"/>
    <w:rsid w:val="00391D9D"/>
    <w:rsid w:val="003B6C51"/>
    <w:rsid w:val="003C1413"/>
    <w:rsid w:val="003C549F"/>
    <w:rsid w:val="003D5A16"/>
    <w:rsid w:val="003E7DB3"/>
    <w:rsid w:val="00401140"/>
    <w:rsid w:val="00431175"/>
    <w:rsid w:val="004374A3"/>
    <w:rsid w:val="00493686"/>
    <w:rsid w:val="004B6E37"/>
    <w:rsid w:val="004C32BA"/>
    <w:rsid w:val="004C68EF"/>
    <w:rsid w:val="004D4CF3"/>
    <w:rsid w:val="004F36BC"/>
    <w:rsid w:val="0050649C"/>
    <w:rsid w:val="00550BAC"/>
    <w:rsid w:val="00555B1D"/>
    <w:rsid w:val="00575922"/>
    <w:rsid w:val="005A3C0D"/>
    <w:rsid w:val="005A6C90"/>
    <w:rsid w:val="005B37E6"/>
    <w:rsid w:val="005E3FB0"/>
    <w:rsid w:val="005F4B66"/>
    <w:rsid w:val="005F5208"/>
    <w:rsid w:val="00615C31"/>
    <w:rsid w:val="00641318"/>
    <w:rsid w:val="0064405D"/>
    <w:rsid w:val="00695557"/>
    <w:rsid w:val="006D4EA7"/>
    <w:rsid w:val="0070012A"/>
    <w:rsid w:val="0070664B"/>
    <w:rsid w:val="007071B8"/>
    <w:rsid w:val="007153B8"/>
    <w:rsid w:val="007155C2"/>
    <w:rsid w:val="007414DE"/>
    <w:rsid w:val="00760C0C"/>
    <w:rsid w:val="007905A9"/>
    <w:rsid w:val="007B60A9"/>
    <w:rsid w:val="007E072B"/>
    <w:rsid w:val="007E5500"/>
    <w:rsid w:val="007F055B"/>
    <w:rsid w:val="00811C2F"/>
    <w:rsid w:val="00833D46"/>
    <w:rsid w:val="00836215"/>
    <w:rsid w:val="00840A97"/>
    <w:rsid w:val="00872B02"/>
    <w:rsid w:val="00873292"/>
    <w:rsid w:val="008A640A"/>
    <w:rsid w:val="008C0149"/>
    <w:rsid w:val="008D5DED"/>
    <w:rsid w:val="008E25CA"/>
    <w:rsid w:val="008F34FC"/>
    <w:rsid w:val="00944CD7"/>
    <w:rsid w:val="00947EEC"/>
    <w:rsid w:val="00961190"/>
    <w:rsid w:val="009831B2"/>
    <w:rsid w:val="009A1ABE"/>
    <w:rsid w:val="009C6BF3"/>
    <w:rsid w:val="009E21A4"/>
    <w:rsid w:val="009F22C6"/>
    <w:rsid w:val="00A07E50"/>
    <w:rsid w:val="00A12C15"/>
    <w:rsid w:val="00A15397"/>
    <w:rsid w:val="00A35CE0"/>
    <w:rsid w:val="00A4462E"/>
    <w:rsid w:val="00A44AA4"/>
    <w:rsid w:val="00A61623"/>
    <w:rsid w:val="00A84687"/>
    <w:rsid w:val="00AA0458"/>
    <w:rsid w:val="00AB0A0E"/>
    <w:rsid w:val="00AD3B6E"/>
    <w:rsid w:val="00AF6D31"/>
    <w:rsid w:val="00B1751F"/>
    <w:rsid w:val="00B50F96"/>
    <w:rsid w:val="00B56722"/>
    <w:rsid w:val="00B67044"/>
    <w:rsid w:val="00B74D39"/>
    <w:rsid w:val="00B827C6"/>
    <w:rsid w:val="00B91DA4"/>
    <w:rsid w:val="00BA7174"/>
    <w:rsid w:val="00BB3438"/>
    <w:rsid w:val="00C12630"/>
    <w:rsid w:val="00C234F0"/>
    <w:rsid w:val="00C34562"/>
    <w:rsid w:val="00C3774E"/>
    <w:rsid w:val="00C44606"/>
    <w:rsid w:val="00C57456"/>
    <w:rsid w:val="00C65387"/>
    <w:rsid w:val="00C87FAB"/>
    <w:rsid w:val="00C91FF7"/>
    <w:rsid w:val="00C92D15"/>
    <w:rsid w:val="00C94E53"/>
    <w:rsid w:val="00CC7E42"/>
    <w:rsid w:val="00CE3FC3"/>
    <w:rsid w:val="00D0048E"/>
    <w:rsid w:val="00D23E7A"/>
    <w:rsid w:val="00D24001"/>
    <w:rsid w:val="00D518B0"/>
    <w:rsid w:val="00D56D8F"/>
    <w:rsid w:val="00D61063"/>
    <w:rsid w:val="00D87EE4"/>
    <w:rsid w:val="00DB35AF"/>
    <w:rsid w:val="00DD72D7"/>
    <w:rsid w:val="00DF5B88"/>
    <w:rsid w:val="00E0589E"/>
    <w:rsid w:val="00E0697F"/>
    <w:rsid w:val="00E241FA"/>
    <w:rsid w:val="00E2595E"/>
    <w:rsid w:val="00E35374"/>
    <w:rsid w:val="00E50C19"/>
    <w:rsid w:val="00E64655"/>
    <w:rsid w:val="00E73081"/>
    <w:rsid w:val="00E856C9"/>
    <w:rsid w:val="00E909E0"/>
    <w:rsid w:val="00EA4F68"/>
    <w:rsid w:val="00EB6A8B"/>
    <w:rsid w:val="00EC6814"/>
    <w:rsid w:val="00ED411D"/>
    <w:rsid w:val="00EF38C6"/>
    <w:rsid w:val="00EF4C3B"/>
    <w:rsid w:val="00F679C7"/>
    <w:rsid w:val="00F7711A"/>
    <w:rsid w:val="00F80C72"/>
    <w:rsid w:val="00FA0D58"/>
    <w:rsid w:val="00FA1580"/>
    <w:rsid w:val="00FA56F4"/>
    <w:rsid w:val="00FB4EDA"/>
    <w:rsid w:val="00FD1DD2"/>
    <w:rsid w:val="00FD3BD5"/>
    <w:rsid w:val="00FE3DC8"/>
    <w:rsid w:val="01ED5ED0"/>
    <w:rsid w:val="04073F84"/>
    <w:rsid w:val="0B60750A"/>
    <w:rsid w:val="10686488"/>
    <w:rsid w:val="10DF728A"/>
    <w:rsid w:val="1264200E"/>
    <w:rsid w:val="141C5B77"/>
    <w:rsid w:val="189E02DE"/>
    <w:rsid w:val="18D8339D"/>
    <w:rsid w:val="1A21388F"/>
    <w:rsid w:val="1A570D2F"/>
    <w:rsid w:val="1D425B2F"/>
    <w:rsid w:val="28FB0B8D"/>
    <w:rsid w:val="2D2B7942"/>
    <w:rsid w:val="2D46481D"/>
    <w:rsid w:val="2E733B28"/>
    <w:rsid w:val="2FCF2E9A"/>
    <w:rsid w:val="31852B5A"/>
    <w:rsid w:val="32D01238"/>
    <w:rsid w:val="36642935"/>
    <w:rsid w:val="38B91223"/>
    <w:rsid w:val="3DFC59A8"/>
    <w:rsid w:val="3ECF245E"/>
    <w:rsid w:val="3F5E761E"/>
    <w:rsid w:val="3FB96314"/>
    <w:rsid w:val="53A44FAF"/>
    <w:rsid w:val="555C1BFE"/>
    <w:rsid w:val="594329EC"/>
    <w:rsid w:val="5BEE1540"/>
    <w:rsid w:val="5DE61A5D"/>
    <w:rsid w:val="63C04243"/>
    <w:rsid w:val="649C01C7"/>
    <w:rsid w:val="677C3A75"/>
    <w:rsid w:val="699A3F60"/>
    <w:rsid w:val="72902E62"/>
    <w:rsid w:val="73C61104"/>
    <w:rsid w:val="776452EA"/>
    <w:rsid w:val="7BDE2CE1"/>
    <w:rsid w:val="7DC663B9"/>
    <w:rsid w:val="7FD210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1"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Date"/>
    <w:basedOn w:val="1"/>
    <w:next w:val="1"/>
    <w:link w:val="31"/>
    <w:semiHidden/>
    <w:unhideWhenUsed/>
    <w:qFormat/>
    <w:uiPriority w:val="99"/>
    <w:pPr>
      <w:ind w:left="100" w:leftChars="2500"/>
    </w:pPr>
  </w:style>
  <w:style w:type="paragraph" w:styleId="7">
    <w:name w:val="Balloon Text"/>
    <w:basedOn w:val="1"/>
    <w:link w:val="19"/>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Subtitle"/>
    <w:basedOn w:val="1"/>
    <w:next w:val="1"/>
    <w:link w:val="21"/>
    <w:qFormat/>
    <w:uiPriority w:val="11"/>
    <w:pPr>
      <w:widowControl/>
      <w:spacing w:after="200" w:line="276" w:lineRule="auto"/>
      <w:jc w:val="left"/>
    </w:pPr>
    <w:rPr>
      <w:rFonts w:asciiTheme="majorHAnsi" w:hAnsiTheme="majorHAnsi" w:eastAsiaTheme="majorEastAsia" w:cstheme="majorBidi"/>
      <w:i/>
      <w:iCs/>
      <w:color w:val="F0A22E" w:themeColor="accent1"/>
      <w:spacing w:val="15"/>
      <w:kern w:val="0"/>
      <w:sz w:val="24"/>
    </w:rPr>
  </w:style>
  <w:style w:type="paragraph" w:styleId="11">
    <w:name w:val="Title"/>
    <w:basedOn w:val="1"/>
    <w:next w:val="1"/>
    <w:link w:val="20"/>
    <w:qFormat/>
    <w:uiPriority w:val="10"/>
    <w:pPr>
      <w:widowControl/>
      <w:pBdr>
        <w:bottom w:val="single" w:color="F0A22E" w:themeColor="accent1" w:sz="8" w:space="4"/>
      </w:pBdr>
      <w:spacing w:after="300"/>
      <w:contextualSpacing/>
      <w:jc w:val="left"/>
    </w:pPr>
    <w:rPr>
      <w:rFonts w:asciiTheme="majorHAnsi" w:hAnsiTheme="majorHAnsi" w:eastAsiaTheme="majorEastAsia" w:cstheme="majorBidi"/>
      <w:color w:val="3A2C23" w:themeColor="text2" w:themeShade="BF"/>
      <w:spacing w:val="5"/>
      <w:kern w:val="28"/>
      <w:sz w:val="52"/>
      <w:szCs w:val="52"/>
    </w:rPr>
  </w:style>
  <w:style w:type="table" w:styleId="13">
    <w:name w:val="Table Grid"/>
    <w:basedOn w:val="12"/>
    <w:qFormat/>
    <w:uiPriority w:val="1"/>
    <w:rPr>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5">
    <w:name w:val="页眉 Char"/>
    <w:basedOn w:val="14"/>
    <w:link w:val="9"/>
    <w:qFormat/>
    <w:uiPriority w:val="99"/>
    <w:rPr>
      <w:sz w:val="18"/>
      <w:szCs w:val="18"/>
    </w:rPr>
  </w:style>
  <w:style w:type="character" w:customStyle="1" w:styleId="16">
    <w:name w:val="页脚 Char"/>
    <w:basedOn w:val="14"/>
    <w:link w:val="8"/>
    <w:qFormat/>
    <w:uiPriority w:val="99"/>
    <w:rPr>
      <w:sz w:val="18"/>
      <w:szCs w:val="18"/>
    </w:rPr>
  </w:style>
  <w:style w:type="paragraph" w:styleId="17">
    <w:name w:val="No Spacing"/>
    <w:link w:val="18"/>
    <w:qFormat/>
    <w:uiPriority w:val="1"/>
    <w:pPr>
      <w:spacing w:after="160" w:line="480" w:lineRule="auto"/>
    </w:pPr>
    <w:rPr>
      <w:rFonts w:asciiTheme="minorHAnsi" w:hAnsiTheme="minorHAnsi" w:eastAsiaTheme="minorEastAsia" w:cstheme="minorBidi"/>
      <w:sz w:val="22"/>
      <w:szCs w:val="22"/>
      <w:lang w:val="en-US" w:eastAsia="zh-CN" w:bidi="ar-SA"/>
    </w:rPr>
  </w:style>
  <w:style w:type="character" w:customStyle="1" w:styleId="18">
    <w:name w:val="无间隔 Char"/>
    <w:basedOn w:val="14"/>
    <w:link w:val="17"/>
    <w:qFormat/>
    <w:uiPriority w:val="1"/>
    <w:rPr>
      <w:kern w:val="0"/>
      <w:sz w:val="22"/>
    </w:rPr>
  </w:style>
  <w:style w:type="character" w:customStyle="1" w:styleId="19">
    <w:name w:val="批注框文本 Char"/>
    <w:basedOn w:val="14"/>
    <w:link w:val="7"/>
    <w:semiHidden/>
    <w:qFormat/>
    <w:uiPriority w:val="99"/>
    <w:rPr>
      <w:rFonts w:ascii="Times New Roman" w:hAnsi="Times New Roman" w:eastAsia="宋体" w:cs="Times New Roman"/>
      <w:sz w:val="18"/>
      <w:szCs w:val="18"/>
    </w:rPr>
  </w:style>
  <w:style w:type="character" w:customStyle="1" w:styleId="20">
    <w:name w:val="标题 Char"/>
    <w:basedOn w:val="14"/>
    <w:link w:val="11"/>
    <w:qFormat/>
    <w:uiPriority w:val="10"/>
    <w:rPr>
      <w:rFonts w:asciiTheme="majorHAnsi" w:hAnsiTheme="majorHAnsi" w:eastAsiaTheme="majorEastAsia" w:cstheme="majorBidi"/>
      <w:color w:val="3A2C23" w:themeColor="text2" w:themeShade="BF"/>
      <w:spacing w:val="5"/>
      <w:kern w:val="28"/>
      <w:sz w:val="52"/>
      <w:szCs w:val="52"/>
    </w:rPr>
  </w:style>
  <w:style w:type="character" w:customStyle="1" w:styleId="21">
    <w:name w:val="副标题 Char"/>
    <w:basedOn w:val="14"/>
    <w:link w:val="10"/>
    <w:qFormat/>
    <w:uiPriority w:val="11"/>
    <w:rPr>
      <w:rFonts w:asciiTheme="majorHAnsi" w:hAnsiTheme="majorHAnsi" w:eastAsiaTheme="majorEastAsia" w:cstheme="majorBidi"/>
      <w:i/>
      <w:iCs/>
      <w:color w:val="F0A22E" w:themeColor="accent1"/>
      <w:spacing w:val="15"/>
      <w:kern w:val="0"/>
      <w:sz w:val="24"/>
      <w:szCs w:val="24"/>
    </w:rPr>
  </w:style>
  <w:style w:type="character" w:customStyle="1" w:styleId="22">
    <w:name w:val="Style1"/>
    <w:basedOn w:val="14"/>
    <w:qFormat/>
    <w:uiPriority w:val="1"/>
    <w:rPr>
      <w:rFonts w:asciiTheme="minorHAnsi" w:hAnsiTheme="minorEastAsia" w:eastAsiaTheme="minorEastAsia" w:cstheme="minorBidi"/>
      <w:sz w:val="22"/>
      <w:szCs w:val="22"/>
      <w:lang w:eastAsia="zh-CN"/>
    </w:rPr>
  </w:style>
  <w:style w:type="character" w:customStyle="1" w:styleId="23">
    <w:name w:val="Style2"/>
    <w:basedOn w:val="14"/>
    <w:qFormat/>
    <w:uiPriority w:val="1"/>
    <w:rPr>
      <w:rFonts w:asciiTheme="minorHAnsi" w:hAnsiTheme="minorEastAsia" w:eastAsiaTheme="minorEastAsia" w:cstheme="minorBidi"/>
      <w:sz w:val="22"/>
      <w:szCs w:val="22"/>
      <w:lang w:eastAsia="zh-CN"/>
    </w:rPr>
  </w:style>
  <w:style w:type="character" w:customStyle="1" w:styleId="24">
    <w:name w:val="Style3"/>
    <w:basedOn w:val="14"/>
    <w:qFormat/>
    <w:uiPriority w:val="1"/>
    <w:rPr>
      <w:rFonts w:asciiTheme="minorHAnsi" w:hAnsiTheme="minorEastAsia" w:eastAsiaTheme="minorEastAsia" w:cstheme="minorBidi"/>
      <w:szCs w:val="22"/>
      <w:lang w:eastAsia="zh-CN"/>
    </w:rPr>
  </w:style>
  <w:style w:type="character" w:customStyle="1" w:styleId="25">
    <w:name w:val="Style4"/>
    <w:basedOn w:val="14"/>
    <w:qFormat/>
    <w:uiPriority w:val="1"/>
    <w:rPr>
      <w:rFonts w:asciiTheme="minorHAnsi" w:hAnsiTheme="minorEastAsia" w:eastAsiaTheme="minorEastAsia" w:cstheme="minorBidi"/>
      <w:szCs w:val="22"/>
      <w:lang w:eastAsia="zh-CN"/>
    </w:rPr>
  </w:style>
  <w:style w:type="character" w:customStyle="1" w:styleId="26">
    <w:name w:val="Style5"/>
    <w:basedOn w:val="14"/>
    <w:qFormat/>
    <w:uiPriority w:val="1"/>
    <w:rPr>
      <w:rFonts w:asciiTheme="minorHAnsi" w:hAnsiTheme="minorEastAsia" w:eastAsiaTheme="minorEastAsia" w:cstheme="minorBidi"/>
      <w:sz w:val="22"/>
      <w:szCs w:val="22"/>
      <w:lang w:eastAsia="zh-CN"/>
    </w:rPr>
  </w:style>
  <w:style w:type="character" w:customStyle="1" w:styleId="27">
    <w:name w:val="标题 1 Char"/>
    <w:basedOn w:val="14"/>
    <w:link w:val="2"/>
    <w:qFormat/>
    <w:uiPriority w:val="9"/>
    <w:rPr>
      <w:rFonts w:ascii="Times New Roman" w:hAnsi="Times New Roman" w:eastAsia="宋体" w:cs="Times New Roman"/>
      <w:b/>
      <w:bCs/>
      <w:kern w:val="44"/>
      <w:sz w:val="44"/>
      <w:szCs w:val="44"/>
    </w:rPr>
  </w:style>
  <w:style w:type="character" w:customStyle="1" w:styleId="28">
    <w:name w:val="标题 2 Char"/>
    <w:basedOn w:val="14"/>
    <w:link w:val="3"/>
    <w:qFormat/>
    <w:uiPriority w:val="9"/>
    <w:rPr>
      <w:rFonts w:asciiTheme="majorHAnsi" w:hAnsiTheme="majorHAnsi" w:eastAsiaTheme="majorEastAsia" w:cstheme="majorBidi"/>
      <w:b/>
      <w:bCs/>
      <w:sz w:val="32"/>
      <w:szCs w:val="32"/>
    </w:rPr>
  </w:style>
  <w:style w:type="character" w:customStyle="1" w:styleId="29">
    <w:name w:val="标题 3 Char"/>
    <w:basedOn w:val="14"/>
    <w:link w:val="4"/>
    <w:qFormat/>
    <w:uiPriority w:val="9"/>
    <w:rPr>
      <w:rFonts w:ascii="Times New Roman" w:hAnsi="Times New Roman" w:eastAsia="宋体" w:cs="Times New Roman"/>
      <w:b/>
      <w:bCs/>
      <w:sz w:val="32"/>
      <w:szCs w:val="32"/>
    </w:rPr>
  </w:style>
  <w:style w:type="character" w:customStyle="1" w:styleId="30">
    <w:name w:val="标题 4 Char"/>
    <w:basedOn w:val="14"/>
    <w:link w:val="5"/>
    <w:qFormat/>
    <w:uiPriority w:val="9"/>
    <w:rPr>
      <w:rFonts w:asciiTheme="majorHAnsi" w:hAnsiTheme="majorHAnsi" w:eastAsiaTheme="majorEastAsia" w:cstheme="majorBidi"/>
      <w:b/>
      <w:bCs/>
      <w:sz w:val="28"/>
      <w:szCs w:val="28"/>
    </w:rPr>
  </w:style>
  <w:style w:type="character" w:customStyle="1" w:styleId="31">
    <w:name w:val="日期 Char"/>
    <w:basedOn w:val="14"/>
    <w:link w:val="6"/>
    <w:semiHidden/>
    <w:qFormat/>
    <w:uiPriority w:val="99"/>
    <w:rPr>
      <w:rFonts w:ascii="Times New Roman" w:hAnsi="Times New Roman" w:eastAsia="宋体" w:cs="Times New Roman"/>
      <w:szCs w:val="24"/>
    </w:rPr>
  </w:style>
  <w:style w:type="paragraph" w:styleId="32">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跋涉">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凤舞九天">
      <a:fillStyleLst>
        <a:solidFill>
          <a:schemeClr val="phClr">
            <a:tint val="100000"/>
            <a:shade val="100000"/>
            <a:hueMod val="100000"/>
            <a:satMod val="100000"/>
          </a:schemeClr>
        </a:solidFill>
        <a:gradFill rotWithShape="1">
          <a:gsLst>
            <a:gs pos="0">
              <a:schemeClr val="phClr">
                <a:tint val="65000"/>
                <a:satMod val="180000"/>
              </a:schemeClr>
            </a:gs>
            <a:gs pos="50000">
              <a:schemeClr val="phClr">
                <a:tint val="40000"/>
                <a:satMod val="175000"/>
              </a:schemeClr>
            </a:gs>
            <a:gs pos="100000">
              <a:schemeClr val="phClr">
                <a:tint val="65000"/>
                <a:satMod val="180000"/>
              </a:schemeClr>
            </a:gs>
          </a:gsLst>
          <a:lin ang="0" scaled="1"/>
        </a:gradFill>
        <a:gradFill rotWithShape="1">
          <a:gsLst>
            <a:gs pos="0">
              <a:schemeClr val="phClr">
                <a:shade val="38000"/>
                <a:satMod val="150000"/>
              </a:schemeClr>
            </a:gs>
            <a:gs pos="50000">
              <a:schemeClr val="phClr">
                <a:shade val="100000"/>
                <a:satMod val="100000"/>
              </a:schemeClr>
            </a:gs>
            <a:gs pos="100000">
              <a:schemeClr val="phClr">
                <a:shade val="38000"/>
                <a:satMod val="150000"/>
              </a:schemeClr>
            </a:gs>
          </a:gsLst>
          <a:lin ang="0" scaled="1"/>
        </a:gradFill>
      </a:fillStyleLst>
      <a:lnStyleLst>
        <a:ln w="12700" cap="flat" cmpd="sng" algn="ctr">
          <a:solidFill>
            <a:schemeClr val="phClr"/>
          </a:solidFill>
          <a:prstDash val="solid"/>
        </a:ln>
        <a:ln w="25400" cap="flat" cmpd="sng" algn="ctr">
          <a:solidFill>
            <a:schemeClr val="phClr"/>
          </a:solidFill>
          <a:prstDash val="solid"/>
        </a:ln>
        <a:ln w="38100" cap="flat" cmpd="dbl" algn="ctr">
          <a:solidFill>
            <a:schemeClr val="phClr"/>
          </a:solidFill>
          <a:prstDash val="solid"/>
        </a:ln>
      </a:lnStyleLst>
      <a:effectStyleLst>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verPageProperties xmlns="http://schemas.microsoft.com/office/2006/coverPageProps">
  <PublishDate>2017</PublishDate>
  <Abstract/>
  <CompanyAddress/>
  <CompanyPhone/>
  <CompanyFax/>
  <CompanyEmail/>
</CoverPageProperties>
</file>

<file path=customXml/itemProps1.xml><?xml version="1.0" encoding="utf-8"?>
<ds:datastoreItem xmlns:ds="http://schemas.openxmlformats.org/officeDocument/2006/customXml" ds:itemID="{1D59DA58-3CA2-4856-9A51-CD581AE1A768}">
  <ds:schemaRefs/>
</ds:datastoreItem>
</file>

<file path=customXml/itemProps2.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5948</Words>
  <Characters>6446</Characters>
  <Lines>47</Lines>
  <Paragraphs>13</Paragraphs>
  <TotalTime>5</TotalTime>
  <ScaleCrop>false</ScaleCrop>
  <LinksUpToDate>false</LinksUpToDate>
  <CharactersWithSpaces>6516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2019-09-26T01:09:00Z</dcterms:created>
  <dc:creator>User</dc:creator>
  <cp:lastModifiedBy>刘润龙</cp:lastModifiedBy>
  <cp:lastPrinted>2019-09-27T00:42:00Z</cp:lastPrinted>
  <dcterms:modified xsi:type="dcterms:W3CDTF">2024-05-21T09:01:33Z</dcterms:modified>
  <dc:subject>石家庄市xxx部门</dc:subject>
  <dc:title>2017年度部门决算</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8EB0A2AE29784E508BDE8F56F4A40C9F_12</vt:lpwstr>
  </property>
</Properties>
</file>