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8</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11</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12</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14</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16</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18</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19</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19</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19</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25</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32</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32</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33</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34</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1995.75</w:t>
            </w:r>
          </w:p>
        </w:tc>
        <w:tc>
          <w:tcPr>
            <w:tcW w:w="4535" w:type="dxa"/>
            <w:vAlign w:val="center"/>
          </w:tcPr>
          <w:p>
            <w:pPr>
              <w:pStyle w:val="16"/>
            </w:pPr>
            <w:r>
              <w:t>一、一般公共服务支出</w:t>
            </w:r>
          </w:p>
        </w:tc>
        <w:tc>
          <w:tcPr>
            <w:tcW w:w="2126" w:type="dxa"/>
            <w:vAlign w:val="center"/>
          </w:tcPr>
          <w:p>
            <w:pPr>
              <w:pStyle w:val="15"/>
            </w:pPr>
            <w:r>
              <w:t>1699.65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182.44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79.16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1995.75</w:t>
            </w:r>
          </w:p>
        </w:tc>
        <w:tc>
          <w:tcPr>
            <w:tcW w:w="4535" w:type="dxa"/>
            <w:vAlign w:val="center"/>
          </w:tcPr>
          <w:p>
            <w:pPr>
              <w:pStyle w:val="18"/>
            </w:pPr>
            <w:r>
              <w:t>本年支出合计</w:t>
            </w:r>
          </w:p>
        </w:tc>
        <w:tc>
          <w:tcPr>
            <w:tcW w:w="2126" w:type="dxa"/>
            <w:vAlign w:val="center"/>
          </w:tcPr>
          <w:p>
            <w:pPr>
              <w:pStyle w:val="19"/>
            </w:pPr>
            <w:r>
              <w:t>1995.75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1995.75</w:t>
            </w:r>
          </w:p>
        </w:tc>
        <w:tc>
          <w:tcPr>
            <w:tcW w:w="4535" w:type="dxa"/>
            <w:vAlign w:val="center"/>
          </w:tcPr>
          <w:p>
            <w:pPr>
              <w:pStyle w:val="18"/>
            </w:pPr>
            <w:r>
              <w:t>支出总计</w:t>
            </w:r>
          </w:p>
        </w:tc>
        <w:tc>
          <w:tcPr>
            <w:tcW w:w="2126" w:type="dxa"/>
            <w:vAlign w:val="center"/>
          </w:tcPr>
          <w:p>
            <w:pPr>
              <w:pStyle w:val="19"/>
            </w:pPr>
            <w:r>
              <w:t>1995.75</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1995.75</w:t>
            </w:r>
          </w:p>
        </w:tc>
        <w:tc>
          <w:tcPr>
            <w:tcW w:w="1134" w:type="dxa"/>
            <w:vAlign w:val="center"/>
          </w:tcPr>
          <w:p>
            <w:pPr>
              <w:pStyle w:val="19"/>
            </w:pPr>
            <w:r>
              <w:t>1995.75</w:t>
            </w:r>
          </w:p>
        </w:tc>
        <w:tc>
          <w:tcPr>
            <w:tcW w:w="1134" w:type="dxa"/>
            <w:vAlign w:val="center"/>
          </w:tcPr>
          <w:p>
            <w:pPr>
              <w:pStyle w:val="19"/>
            </w:pPr>
            <w:r>
              <w:t>1995.75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1699.65</w:t>
            </w:r>
          </w:p>
        </w:tc>
        <w:tc>
          <w:tcPr>
            <w:tcW w:w="1134" w:type="dxa"/>
            <w:vAlign w:val="center"/>
          </w:tcPr>
          <w:p>
            <w:pPr>
              <w:pStyle w:val="15"/>
            </w:pPr>
            <w:r>
              <w:t>1699.65</w:t>
            </w:r>
          </w:p>
        </w:tc>
        <w:tc>
          <w:tcPr>
            <w:tcW w:w="1134" w:type="dxa"/>
            <w:vAlign w:val="center"/>
          </w:tcPr>
          <w:p>
            <w:pPr>
              <w:pStyle w:val="15"/>
            </w:pPr>
            <w:r>
              <w:t>1699.65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20103</w:t>
            </w:r>
          </w:p>
        </w:tc>
        <w:tc>
          <w:tcPr>
            <w:tcW w:w="1559" w:type="dxa"/>
            <w:vAlign w:val="center"/>
          </w:tcPr>
          <w:p>
            <w:pPr>
              <w:pStyle w:val="16"/>
            </w:pPr>
            <w:r>
              <w:t>政府办公厅（室）及相关机构事务</w:t>
            </w:r>
          </w:p>
        </w:tc>
        <w:tc>
          <w:tcPr>
            <w:tcW w:w="1134" w:type="dxa"/>
            <w:vAlign w:val="center"/>
          </w:tcPr>
          <w:p>
            <w:pPr>
              <w:pStyle w:val="15"/>
            </w:pPr>
            <w:r>
              <w:t>1699.65</w:t>
            </w:r>
          </w:p>
        </w:tc>
        <w:tc>
          <w:tcPr>
            <w:tcW w:w="1134" w:type="dxa"/>
            <w:vAlign w:val="center"/>
          </w:tcPr>
          <w:p>
            <w:pPr>
              <w:pStyle w:val="15"/>
            </w:pPr>
            <w:r>
              <w:t>1699.65</w:t>
            </w:r>
          </w:p>
        </w:tc>
        <w:tc>
          <w:tcPr>
            <w:tcW w:w="1134" w:type="dxa"/>
            <w:vAlign w:val="center"/>
          </w:tcPr>
          <w:p>
            <w:pPr>
              <w:pStyle w:val="15"/>
            </w:pPr>
            <w:r>
              <w:t>1699.65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2010301</w:t>
            </w:r>
          </w:p>
        </w:tc>
        <w:tc>
          <w:tcPr>
            <w:tcW w:w="1559" w:type="dxa"/>
            <w:vAlign w:val="center"/>
          </w:tcPr>
          <w:p>
            <w:pPr>
              <w:pStyle w:val="16"/>
            </w:pPr>
            <w:r>
              <w:t>行政运行</w:t>
            </w:r>
          </w:p>
        </w:tc>
        <w:tc>
          <w:tcPr>
            <w:tcW w:w="1134" w:type="dxa"/>
            <w:vAlign w:val="center"/>
          </w:tcPr>
          <w:p>
            <w:pPr>
              <w:pStyle w:val="15"/>
            </w:pPr>
            <w:r>
              <w:t>1699.65</w:t>
            </w:r>
          </w:p>
        </w:tc>
        <w:tc>
          <w:tcPr>
            <w:tcW w:w="1134" w:type="dxa"/>
            <w:vAlign w:val="center"/>
          </w:tcPr>
          <w:p>
            <w:pPr>
              <w:pStyle w:val="15"/>
            </w:pPr>
            <w:r>
              <w:t>1699.65</w:t>
            </w:r>
          </w:p>
        </w:tc>
        <w:tc>
          <w:tcPr>
            <w:tcW w:w="1134" w:type="dxa"/>
            <w:vAlign w:val="center"/>
          </w:tcPr>
          <w:p>
            <w:pPr>
              <w:pStyle w:val="15"/>
            </w:pPr>
            <w:r>
              <w:t>1699.65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182.44</w:t>
            </w:r>
          </w:p>
        </w:tc>
        <w:tc>
          <w:tcPr>
            <w:tcW w:w="1134" w:type="dxa"/>
            <w:vAlign w:val="center"/>
          </w:tcPr>
          <w:p>
            <w:pPr>
              <w:pStyle w:val="15"/>
            </w:pPr>
            <w:r>
              <w:t>182.44</w:t>
            </w:r>
          </w:p>
        </w:tc>
        <w:tc>
          <w:tcPr>
            <w:tcW w:w="1134" w:type="dxa"/>
            <w:vAlign w:val="center"/>
          </w:tcPr>
          <w:p>
            <w:pPr>
              <w:pStyle w:val="15"/>
            </w:pPr>
            <w:r>
              <w:t>182.44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180.04</w:t>
            </w:r>
          </w:p>
        </w:tc>
        <w:tc>
          <w:tcPr>
            <w:tcW w:w="1134" w:type="dxa"/>
            <w:vAlign w:val="center"/>
          </w:tcPr>
          <w:p>
            <w:pPr>
              <w:pStyle w:val="15"/>
            </w:pPr>
            <w:r>
              <w:t>180.04</w:t>
            </w:r>
          </w:p>
        </w:tc>
        <w:tc>
          <w:tcPr>
            <w:tcW w:w="1134" w:type="dxa"/>
            <w:vAlign w:val="center"/>
          </w:tcPr>
          <w:p>
            <w:pPr>
              <w:pStyle w:val="15"/>
            </w:pPr>
            <w:r>
              <w:t>180.04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84.33</w:t>
            </w:r>
          </w:p>
        </w:tc>
        <w:tc>
          <w:tcPr>
            <w:tcW w:w="1134" w:type="dxa"/>
            <w:vAlign w:val="center"/>
          </w:tcPr>
          <w:p>
            <w:pPr>
              <w:pStyle w:val="15"/>
            </w:pPr>
            <w:r>
              <w:t>84.33</w:t>
            </w:r>
          </w:p>
        </w:tc>
        <w:tc>
          <w:tcPr>
            <w:tcW w:w="1134" w:type="dxa"/>
            <w:vAlign w:val="center"/>
          </w:tcPr>
          <w:p>
            <w:pPr>
              <w:pStyle w:val="15"/>
            </w:pPr>
            <w:r>
              <w:t>84.33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95.71</w:t>
            </w:r>
          </w:p>
        </w:tc>
        <w:tc>
          <w:tcPr>
            <w:tcW w:w="1134" w:type="dxa"/>
            <w:vAlign w:val="center"/>
          </w:tcPr>
          <w:p>
            <w:pPr>
              <w:pStyle w:val="15"/>
            </w:pPr>
            <w:r>
              <w:t>95.71</w:t>
            </w:r>
          </w:p>
        </w:tc>
        <w:tc>
          <w:tcPr>
            <w:tcW w:w="1134" w:type="dxa"/>
            <w:vAlign w:val="center"/>
          </w:tcPr>
          <w:p>
            <w:pPr>
              <w:pStyle w:val="15"/>
            </w:pPr>
            <w:r>
              <w:t>95.71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20827</w:t>
            </w:r>
          </w:p>
        </w:tc>
        <w:tc>
          <w:tcPr>
            <w:tcW w:w="1559" w:type="dxa"/>
            <w:vAlign w:val="center"/>
          </w:tcPr>
          <w:p>
            <w:pPr>
              <w:pStyle w:val="16"/>
            </w:pPr>
            <w:r>
              <w:t>财政对其他社会保险基金的补助</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2082702</w:t>
            </w:r>
          </w:p>
        </w:tc>
        <w:tc>
          <w:tcPr>
            <w:tcW w:w="1559" w:type="dxa"/>
            <w:vAlign w:val="center"/>
          </w:tcPr>
          <w:p>
            <w:pPr>
              <w:pStyle w:val="16"/>
            </w:pPr>
            <w:r>
              <w:t>财政对工伤保险基金的补助</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r>
              <w:t>2.40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34.50</w:t>
            </w:r>
          </w:p>
        </w:tc>
        <w:tc>
          <w:tcPr>
            <w:tcW w:w="1134" w:type="dxa"/>
            <w:vAlign w:val="center"/>
          </w:tcPr>
          <w:p>
            <w:pPr>
              <w:pStyle w:val="15"/>
            </w:pPr>
            <w:r>
              <w:t>34.50</w:t>
            </w:r>
          </w:p>
        </w:tc>
        <w:tc>
          <w:tcPr>
            <w:tcW w:w="1134" w:type="dxa"/>
            <w:vAlign w:val="center"/>
          </w:tcPr>
          <w:p>
            <w:pPr>
              <w:pStyle w:val="15"/>
            </w:pPr>
            <w:r>
              <w:t>34.50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34.50</w:t>
            </w:r>
          </w:p>
        </w:tc>
        <w:tc>
          <w:tcPr>
            <w:tcW w:w="1134" w:type="dxa"/>
            <w:vAlign w:val="center"/>
          </w:tcPr>
          <w:p>
            <w:pPr>
              <w:pStyle w:val="15"/>
            </w:pPr>
            <w:r>
              <w:t>34.50</w:t>
            </w:r>
          </w:p>
        </w:tc>
        <w:tc>
          <w:tcPr>
            <w:tcW w:w="1134" w:type="dxa"/>
            <w:vAlign w:val="center"/>
          </w:tcPr>
          <w:p>
            <w:pPr>
              <w:pStyle w:val="15"/>
            </w:pPr>
            <w:r>
              <w:t>34.50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34.50</w:t>
            </w:r>
          </w:p>
        </w:tc>
        <w:tc>
          <w:tcPr>
            <w:tcW w:w="1134" w:type="dxa"/>
            <w:vAlign w:val="center"/>
          </w:tcPr>
          <w:p>
            <w:pPr>
              <w:pStyle w:val="15"/>
            </w:pPr>
            <w:r>
              <w:t>34.50</w:t>
            </w:r>
          </w:p>
        </w:tc>
        <w:tc>
          <w:tcPr>
            <w:tcW w:w="1134" w:type="dxa"/>
            <w:vAlign w:val="center"/>
          </w:tcPr>
          <w:p>
            <w:pPr>
              <w:pStyle w:val="15"/>
            </w:pPr>
            <w:r>
              <w:t>34.50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79.16</w:t>
            </w:r>
          </w:p>
        </w:tc>
        <w:tc>
          <w:tcPr>
            <w:tcW w:w="1134" w:type="dxa"/>
            <w:vAlign w:val="center"/>
          </w:tcPr>
          <w:p>
            <w:pPr>
              <w:pStyle w:val="15"/>
            </w:pPr>
            <w:r>
              <w:t>79.16</w:t>
            </w:r>
          </w:p>
        </w:tc>
        <w:tc>
          <w:tcPr>
            <w:tcW w:w="1134" w:type="dxa"/>
            <w:vAlign w:val="center"/>
          </w:tcPr>
          <w:p>
            <w:pPr>
              <w:pStyle w:val="15"/>
            </w:pPr>
            <w:r>
              <w:t>79.16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79.16</w:t>
            </w:r>
          </w:p>
        </w:tc>
        <w:tc>
          <w:tcPr>
            <w:tcW w:w="1134" w:type="dxa"/>
            <w:vAlign w:val="center"/>
          </w:tcPr>
          <w:p>
            <w:pPr>
              <w:pStyle w:val="15"/>
            </w:pPr>
            <w:r>
              <w:t>79.16</w:t>
            </w:r>
          </w:p>
        </w:tc>
        <w:tc>
          <w:tcPr>
            <w:tcW w:w="1134" w:type="dxa"/>
            <w:vAlign w:val="center"/>
          </w:tcPr>
          <w:p>
            <w:pPr>
              <w:pStyle w:val="15"/>
            </w:pPr>
            <w:r>
              <w:t>79.16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79.16</w:t>
            </w:r>
          </w:p>
        </w:tc>
        <w:tc>
          <w:tcPr>
            <w:tcW w:w="1134" w:type="dxa"/>
            <w:vAlign w:val="center"/>
          </w:tcPr>
          <w:p>
            <w:pPr>
              <w:pStyle w:val="15"/>
            </w:pPr>
            <w:r>
              <w:t>79.16</w:t>
            </w:r>
          </w:p>
        </w:tc>
        <w:tc>
          <w:tcPr>
            <w:tcW w:w="1134" w:type="dxa"/>
            <w:vAlign w:val="center"/>
          </w:tcPr>
          <w:p>
            <w:pPr>
              <w:pStyle w:val="15"/>
            </w:pPr>
            <w:r>
              <w:t>79.16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1995.75</w:t>
            </w:r>
          </w:p>
        </w:tc>
        <w:tc>
          <w:tcPr>
            <w:tcW w:w="1361" w:type="dxa"/>
            <w:vAlign w:val="center"/>
          </w:tcPr>
          <w:p>
            <w:pPr>
              <w:pStyle w:val="19"/>
            </w:pPr>
            <w:r>
              <w:t>1320.80</w:t>
            </w:r>
          </w:p>
        </w:tc>
        <w:tc>
          <w:tcPr>
            <w:tcW w:w="1361" w:type="dxa"/>
            <w:vAlign w:val="center"/>
          </w:tcPr>
          <w:p>
            <w:pPr>
              <w:pStyle w:val="19"/>
            </w:pPr>
            <w:r>
              <w:t>674.95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1699.65</w:t>
            </w:r>
          </w:p>
        </w:tc>
        <w:tc>
          <w:tcPr>
            <w:tcW w:w="1361" w:type="dxa"/>
            <w:vAlign w:val="center"/>
          </w:tcPr>
          <w:p>
            <w:pPr>
              <w:pStyle w:val="15"/>
            </w:pPr>
            <w:r>
              <w:t>1024.70</w:t>
            </w:r>
          </w:p>
        </w:tc>
        <w:tc>
          <w:tcPr>
            <w:tcW w:w="1361" w:type="dxa"/>
            <w:vAlign w:val="center"/>
          </w:tcPr>
          <w:p>
            <w:pPr>
              <w:pStyle w:val="15"/>
            </w:pPr>
            <w:r>
              <w:t>674.95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20103</w:t>
            </w:r>
          </w:p>
        </w:tc>
        <w:tc>
          <w:tcPr>
            <w:tcW w:w="4535" w:type="dxa"/>
            <w:vAlign w:val="center"/>
          </w:tcPr>
          <w:p>
            <w:pPr>
              <w:pStyle w:val="16"/>
            </w:pPr>
            <w:r>
              <w:t>政府办公厅（室）及相关机构事务</w:t>
            </w:r>
          </w:p>
        </w:tc>
        <w:tc>
          <w:tcPr>
            <w:tcW w:w="1361" w:type="dxa"/>
            <w:vAlign w:val="center"/>
          </w:tcPr>
          <w:p>
            <w:pPr>
              <w:pStyle w:val="15"/>
            </w:pPr>
            <w:r>
              <w:t>1699.65</w:t>
            </w:r>
          </w:p>
        </w:tc>
        <w:tc>
          <w:tcPr>
            <w:tcW w:w="1361" w:type="dxa"/>
            <w:vAlign w:val="center"/>
          </w:tcPr>
          <w:p>
            <w:pPr>
              <w:pStyle w:val="15"/>
            </w:pPr>
            <w:r>
              <w:t>1024.70</w:t>
            </w:r>
          </w:p>
        </w:tc>
        <w:tc>
          <w:tcPr>
            <w:tcW w:w="1361" w:type="dxa"/>
            <w:vAlign w:val="center"/>
          </w:tcPr>
          <w:p>
            <w:pPr>
              <w:pStyle w:val="15"/>
            </w:pPr>
            <w:r>
              <w:t>674.95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2010301</w:t>
            </w:r>
          </w:p>
        </w:tc>
        <w:tc>
          <w:tcPr>
            <w:tcW w:w="4535" w:type="dxa"/>
            <w:vAlign w:val="center"/>
          </w:tcPr>
          <w:p>
            <w:pPr>
              <w:pStyle w:val="16"/>
            </w:pPr>
            <w:r>
              <w:t>行政运行</w:t>
            </w:r>
          </w:p>
        </w:tc>
        <w:tc>
          <w:tcPr>
            <w:tcW w:w="1361" w:type="dxa"/>
            <w:vAlign w:val="center"/>
          </w:tcPr>
          <w:p>
            <w:pPr>
              <w:pStyle w:val="15"/>
            </w:pPr>
            <w:r>
              <w:t>1699.65</w:t>
            </w:r>
          </w:p>
        </w:tc>
        <w:tc>
          <w:tcPr>
            <w:tcW w:w="1361" w:type="dxa"/>
            <w:vAlign w:val="center"/>
          </w:tcPr>
          <w:p>
            <w:pPr>
              <w:pStyle w:val="15"/>
            </w:pPr>
            <w:r>
              <w:t>1024.70</w:t>
            </w:r>
          </w:p>
        </w:tc>
        <w:tc>
          <w:tcPr>
            <w:tcW w:w="1361" w:type="dxa"/>
            <w:vAlign w:val="center"/>
          </w:tcPr>
          <w:p>
            <w:pPr>
              <w:pStyle w:val="15"/>
            </w:pPr>
            <w:r>
              <w:t>674.95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182.44</w:t>
            </w:r>
          </w:p>
        </w:tc>
        <w:tc>
          <w:tcPr>
            <w:tcW w:w="1361" w:type="dxa"/>
            <w:vAlign w:val="center"/>
          </w:tcPr>
          <w:p>
            <w:pPr>
              <w:pStyle w:val="15"/>
            </w:pPr>
            <w:r>
              <w:t>182.44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180.04</w:t>
            </w:r>
          </w:p>
        </w:tc>
        <w:tc>
          <w:tcPr>
            <w:tcW w:w="1361" w:type="dxa"/>
            <w:vAlign w:val="center"/>
          </w:tcPr>
          <w:p>
            <w:pPr>
              <w:pStyle w:val="15"/>
            </w:pPr>
            <w:r>
              <w:t>180.04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84.33</w:t>
            </w:r>
          </w:p>
        </w:tc>
        <w:tc>
          <w:tcPr>
            <w:tcW w:w="1361" w:type="dxa"/>
            <w:vAlign w:val="center"/>
          </w:tcPr>
          <w:p>
            <w:pPr>
              <w:pStyle w:val="15"/>
            </w:pPr>
            <w:r>
              <w:t>84.33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95.71</w:t>
            </w:r>
          </w:p>
        </w:tc>
        <w:tc>
          <w:tcPr>
            <w:tcW w:w="1361" w:type="dxa"/>
            <w:vAlign w:val="center"/>
          </w:tcPr>
          <w:p>
            <w:pPr>
              <w:pStyle w:val="15"/>
            </w:pPr>
            <w:r>
              <w:t>95.71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20827</w:t>
            </w:r>
          </w:p>
        </w:tc>
        <w:tc>
          <w:tcPr>
            <w:tcW w:w="4535" w:type="dxa"/>
            <w:vAlign w:val="center"/>
          </w:tcPr>
          <w:p>
            <w:pPr>
              <w:pStyle w:val="16"/>
            </w:pPr>
            <w:r>
              <w:t>财政对其他社会保险基金的补助</w:t>
            </w:r>
          </w:p>
        </w:tc>
        <w:tc>
          <w:tcPr>
            <w:tcW w:w="1361" w:type="dxa"/>
            <w:vAlign w:val="center"/>
          </w:tcPr>
          <w:p>
            <w:pPr>
              <w:pStyle w:val="15"/>
            </w:pPr>
            <w:r>
              <w:t>2.40</w:t>
            </w:r>
          </w:p>
        </w:tc>
        <w:tc>
          <w:tcPr>
            <w:tcW w:w="1361" w:type="dxa"/>
            <w:vAlign w:val="center"/>
          </w:tcPr>
          <w:p>
            <w:pPr>
              <w:pStyle w:val="15"/>
            </w:pPr>
            <w:r>
              <w:t>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2082702</w:t>
            </w:r>
          </w:p>
        </w:tc>
        <w:tc>
          <w:tcPr>
            <w:tcW w:w="4535" w:type="dxa"/>
            <w:vAlign w:val="center"/>
          </w:tcPr>
          <w:p>
            <w:pPr>
              <w:pStyle w:val="16"/>
            </w:pPr>
            <w:r>
              <w:t>财政对工伤保险基金的补助</w:t>
            </w:r>
          </w:p>
        </w:tc>
        <w:tc>
          <w:tcPr>
            <w:tcW w:w="1361" w:type="dxa"/>
            <w:vAlign w:val="center"/>
          </w:tcPr>
          <w:p>
            <w:pPr>
              <w:pStyle w:val="15"/>
            </w:pPr>
            <w:r>
              <w:t>2.40</w:t>
            </w:r>
          </w:p>
        </w:tc>
        <w:tc>
          <w:tcPr>
            <w:tcW w:w="1361" w:type="dxa"/>
            <w:vAlign w:val="center"/>
          </w:tcPr>
          <w:p>
            <w:pPr>
              <w:pStyle w:val="15"/>
            </w:pPr>
            <w:r>
              <w:t>2.40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34.50</w:t>
            </w:r>
          </w:p>
        </w:tc>
        <w:tc>
          <w:tcPr>
            <w:tcW w:w="1361" w:type="dxa"/>
            <w:vAlign w:val="center"/>
          </w:tcPr>
          <w:p>
            <w:pPr>
              <w:pStyle w:val="15"/>
            </w:pPr>
            <w:r>
              <w:t>34.50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34.50</w:t>
            </w:r>
          </w:p>
        </w:tc>
        <w:tc>
          <w:tcPr>
            <w:tcW w:w="1361" w:type="dxa"/>
            <w:vAlign w:val="center"/>
          </w:tcPr>
          <w:p>
            <w:pPr>
              <w:pStyle w:val="15"/>
            </w:pPr>
            <w:r>
              <w:t>34.50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34.50</w:t>
            </w:r>
          </w:p>
        </w:tc>
        <w:tc>
          <w:tcPr>
            <w:tcW w:w="1361" w:type="dxa"/>
            <w:vAlign w:val="center"/>
          </w:tcPr>
          <w:p>
            <w:pPr>
              <w:pStyle w:val="15"/>
            </w:pPr>
            <w:r>
              <w:t>34.50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79.16</w:t>
            </w:r>
          </w:p>
        </w:tc>
        <w:tc>
          <w:tcPr>
            <w:tcW w:w="1361" w:type="dxa"/>
            <w:vAlign w:val="center"/>
          </w:tcPr>
          <w:p>
            <w:pPr>
              <w:pStyle w:val="15"/>
            </w:pPr>
            <w:r>
              <w:t>79.16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79.16</w:t>
            </w:r>
          </w:p>
        </w:tc>
        <w:tc>
          <w:tcPr>
            <w:tcW w:w="1361" w:type="dxa"/>
            <w:vAlign w:val="center"/>
          </w:tcPr>
          <w:p>
            <w:pPr>
              <w:pStyle w:val="15"/>
            </w:pPr>
            <w:r>
              <w:t>79.16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79.16</w:t>
            </w:r>
          </w:p>
        </w:tc>
        <w:tc>
          <w:tcPr>
            <w:tcW w:w="1361" w:type="dxa"/>
            <w:vAlign w:val="center"/>
          </w:tcPr>
          <w:p>
            <w:pPr>
              <w:pStyle w:val="15"/>
            </w:pPr>
            <w:r>
              <w:t>79.16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1995.75</w:t>
            </w:r>
          </w:p>
        </w:tc>
        <w:tc>
          <w:tcPr>
            <w:tcW w:w="3402" w:type="dxa"/>
            <w:vAlign w:val="center"/>
          </w:tcPr>
          <w:p>
            <w:pPr>
              <w:pStyle w:val="16"/>
            </w:pPr>
            <w:r>
              <w:t>一、一般公共服务支出</w:t>
            </w:r>
          </w:p>
        </w:tc>
        <w:tc>
          <w:tcPr>
            <w:tcW w:w="1474" w:type="dxa"/>
            <w:vAlign w:val="center"/>
          </w:tcPr>
          <w:p>
            <w:pPr>
              <w:pStyle w:val="15"/>
            </w:pPr>
            <w:r>
              <w:t>1699.65</w:t>
            </w:r>
          </w:p>
        </w:tc>
        <w:tc>
          <w:tcPr>
            <w:tcW w:w="1474" w:type="dxa"/>
            <w:vAlign w:val="center"/>
          </w:tcPr>
          <w:p>
            <w:pPr>
              <w:pStyle w:val="15"/>
            </w:pPr>
            <w:r>
              <w:t>1699.65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182.44</w:t>
            </w:r>
          </w:p>
        </w:tc>
        <w:tc>
          <w:tcPr>
            <w:tcW w:w="1474" w:type="dxa"/>
            <w:vAlign w:val="center"/>
          </w:tcPr>
          <w:p>
            <w:pPr>
              <w:pStyle w:val="15"/>
            </w:pPr>
            <w:r>
              <w:t>182.44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34.50</w:t>
            </w:r>
          </w:p>
        </w:tc>
        <w:tc>
          <w:tcPr>
            <w:tcW w:w="1474" w:type="dxa"/>
            <w:vAlign w:val="center"/>
          </w:tcPr>
          <w:p>
            <w:pPr>
              <w:pStyle w:val="15"/>
            </w:pPr>
            <w:r>
              <w:t>34.50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79.16</w:t>
            </w:r>
          </w:p>
        </w:tc>
        <w:tc>
          <w:tcPr>
            <w:tcW w:w="1474" w:type="dxa"/>
            <w:vAlign w:val="center"/>
          </w:tcPr>
          <w:p>
            <w:pPr>
              <w:pStyle w:val="15"/>
            </w:pPr>
            <w:r>
              <w:t>79.16</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1995.75</w:t>
            </w:r>
          </w:p>
        </w:tc>
        <w:tc>
          <w:tcPr>
            <w:tcW w:w="3402" w:type="dxa"/>
            <w:vAlign w:val="center"/>
          </w:tcPr>
          <w:p>
            <w:pPr>
              <w:pStyle w:val="18"/>
            </w:pPr>
            <w:r>
              <w:t>本年支出合计</w:t>
            </w:r>
          </w:p>
        </w:tc>
        <w:tc>
          <w:tcPr>
            <w:tcW w:w="1474" w:type="dxa"/>
            <w:vAlign w:val="center"/>
          </w:tcPr>
          <w:p>
            <w:pPr>
              <w:pStyle w:val="19"/>
            </w:pPr>
            <w:r>
              <w:t>1995.75</w:t>
            </w:r>
          </w:p>
        </w:tc>
        <w:tc>
          <w:tcPr>
            <w:tcW w:w="1474" w:type="dxa"/>
            <w:vAlign w:val="center"/>
          </w:tcPr>
          <w:p>
            <w:pPr>
              <w:pStyle w:val="19"/>
            </w:pPr>
            <w:r>
              <w:t>1995.75</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1995.75</w:t>
            </w:r>
          </w:p>
        </w:tc>
        <w:tc>
          <w:tcPr>
            <w:tcW w:w="3402" w:type="dxa"/>
            <w:vAlign w:val="center"/>
          </w:tcPr>
          <w:p>
            <w:pPr>
              <w:pStyle w:val="18"/>
            </w:pPr>
            <w:r>
              <w:t>支出总计</w:t>
            </w:r>
          </w:p>
        </w:tc>
        <w:tc>
          <w:tcPr>
            <w:tcW w:w="1474" w:type="dxa"/>
            <w:vAlign w:val="center"/>
          </w:tcPr>
          <w:p>
            <w:pPr>
              <w:pStyle w:val="19"/>
            </w:pPr>
            <w:r>
              <w:t>1995.75</w:t>
            </w:r>
          </w:p>
        </w:tc>
        <w:tc>
          <w:tcPr>
            <w:tcW w:w="1474" w:type="dxa"/>
            <w:vAlign w:val="center"/>
          </w:tcPr>
          <w:p>
            <w:pPr>
              <w:pStyle w:val="19"/>
            </w:pPr>
            <w:r>
              <w:t>1995.75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1995.75</w:t>
            </w:r>
          </w:p>
        </w:tc>
        <w:tc>
          <w:tcPr>
            <w:tcW w:w="2551" w:type="dxa"/>
            <w:vAlign w:val="center"/>
          </w:tcPr>
          <w:p>
            <w:pPr>
              <w:pStyle w:val="19"/>
            </w:pPr>
            <w:r>
              <w:t>1320.80</w:t>
            </w:r>
          </w:p>
        </w:tc>
        <w:tc>
          <w:tcPr>
            <w:tcW w:w="2551" w:type="dxa"/>
            <w:vAlign w:val="center"/>
          </w:tcPr>
          <w:p>
            <w:pPr>
              <w:pStyle w:val="19"/>
            </w:pPr>
            <w:r>
              <w:t>674.95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1699.65</w:t>
            </w:r>
          </w:p>
        </w:tc>
        <w:tc>
          <w:tcPr>
            <w:tcW w:w="2551" w:type="dxa"/>
            <w:vAlign w:val="center"/>
          </w:tcPr>
          <w:p>
            <w:pPr>
              <w:pStyle w:val="15"/>
            </w:pPr>
            <w:r>
              <w:t>1024.70</w:t>
            </w:r>
          </w:p>
        </w:tc>
        <w:tc>
          <w:tcPr>
            <w:tcW w:w="2551" w:type="dxa"/>
            <w:vAlign w:val="center"/>
          </w:tcPr>
          <w:p>
            <w:pPr>
              <w:pStyle w:val="15"/>
            </w:pPr>
            <w:r>
              <w:t>674.95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20103</w:t>
            </w:r>
          </w:p>
        </w:tc>
        <w:tc>
          <w:tcPr>
            <w:tcW w:w="4535" w:type="dxa"/>
            <w:vAlign w:val="center"/>
          </w:tcPr>
          <w:p>
            <w:pPr>
              <w:pStyle w:val="16"/>
            </w:pPr>
            <w:r>
              <w:t>政府办公厅（室）及相关机构事务</w:t>
            </w:r>
          </w:p>
        </w:tc>
        <w:tc>
          <w:tcPr>
            <w:tcW w:w="2551" w:type="dxa"/>
            <w:vAlign w:val="center"/>
          </w:tcPr>
          <w:p>
            <w:pPr>
              <w:pStyle w:val="15"/>
            </w:pPr>
            <w:r>
              <w:t>1699.65</w:t>
            </w:r>
          </w:p>
        </w:tc>
        <w:tc>
          <w:tcPr>
            <w:tcW w:w="2551" w:type="dxa"/>
            <w:vAlign w:val="center"/>
          </w:tcPr>
          <w:p>
            <w:pPr>
              <w:pStyle w:val="15"/>
            </w:pPr>
            <w:r>
              <w:t>1024.70</w:t>
            </w:r>
          </w:p>
        </w:tc>
        <w:tc>
          <w:tcPr>
            <w:tcW w:w="2551" w:type="dxa"/>
            <w:vAlign w:val="center"/>
          </w:tcPr>
          <w:p>
            <w:pPr>
              <w:pStyle w:val="15"/>
            </w:pPr>
            <w:r>
              <w:t>674.95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2010301</w:t>
            </w:r>
          </w:p>
        </w:tc>
        <w:tc>
          <w:tcPr>
            <w:tcW w:w="4535" w:type="dxa"/>
            <w:vAlign w:val="center"/>
          </w:tcPr>
          <w:p>
            <w:pPr>
              <w:pStyle w:val="16"/>
            </w:pPr>
            <w:r>
              <w:t>行政运行</w:t>
            </w:r>
          </w:p>
        </w:tc>
        <w:tc>
          <w:tcPr>
            <w:tcW w:w="2551" w:type="dxa"/>
            <w:vAlign w:val="center"/>
          </w:tcPr>
          <w:p>
            <w:pPr>
              <w:pStyle w:val="15"/>
            </w:pPr>
            <w:r>
              <w:t>1699.65</w:t>
            </w:r>
          </w:p>
        </w:tc>
        <w:tc>
          <w:tcPr>
            <w:tcW w:w="2551" w:type="dxa"/>
            <w:vAlign w:val="center"/>
          </w:tcPr>
          <w:p>
            <w:pPr>
              <w:pStyle w:val="15"/>
            </w:pPr>
            <w:r>
              <w:t>1024.70</w:t>
            </w:r>
          </w:p>
        </w:tc>
        <w:tc>
          <w:tcPr>
            <w:tcW w:w="2551" w:type="dxa"/>
            <w:vAlign w:val="center"/>
          </w:tcPr>
          <w:p>
            <w:pPr>
              <w:pStyle w:val="15"/>
            </w:pPr>
            <w:r>
              <w:t>674.95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182.44</w:t>
            </w:r>
          </w:p>
        </w:tc>
        <w:tc>
          <w:tcPr>
            <w:tcW w:w="2551" w:type="dxa"/>
            <w:vAlign w:val="center"/>
          </w:tcPr>
          <w:p>
            <w:pPr>
              <w:pStyle w:val="15"/>
            </w:pPr>
            <w:r>
              <w:t>182.44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180.04</w:t>
            </w:r>
          </w:p>
        </w:tc>
        <w:tc>
          <w:tcPr>
            <w:tcW w:w="2551" w:type="dxa"/>
            <w:vAlign w:val="center"/>
          </w:tcPr>
          <w:p>
            <w:pPr>
              <w:pStyle w:val="15"/>
            </w:pPr>
            <w:r>
              <w:t>180.04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84.33</w:t>
            </w:r>
          </w:p>
        </w:tc>
        <w:tc>
          <w:tcPr>
            <w:tcW w:w="2551" w:type="dxa"/>
            <w:vAlign w:val="center"/>
          </w:tcPr>
          <w:p>
            <w:pPr>
              <w:pStyle w:val="15"/>
            </w:pPr>
            <w:r>
              <w:t>84.33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95.71</w:t>
            </w:r>
          </w:p>
        </w:tc>
        <w:tc>
          <w:tcPr>
            <w:tcW w:w="2551" w:type="dxa"/>
            <w:vAlign w:val="center"/>
          </w:tcPr>
          <w:p>
            <w:pPr>
              <w:pStyle w:val="15"/>
            </w:pPr>
            <w:r>
              <w:t>95.71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20827</w:t>
            </w:r>
          </w:p>
        </w:tc>
        <w:tc>
          <w:tcPr>
            <w:tcW w:w="4535" w:type="dxa"/>
            <w:vAlign w:val="center"/>
          </w:tcPr>
          <w:p>
            <w:pPr>
              <w:pStyle w:val="16"/>
            </w:pPr>
            <w:r>
              <w:t>财政对其他社会保险基金的补助</w:t>
            </w:r>
          </w:p>
        </w:tc>
        <w:tc>
          <w:tcPr>
            <w:tcW w:w="2551" w:type="dxa"/>
            <w:vAlign w:val="center"/>
          </w:tcPr>
          <w:p>
            <w:pPr>
              <w:pStyle w:val="15"/>
            </w:pPr>
            <w:r>
              <w:t>2.40</w:t>
            </w:r>
          </w:p>
        </w:tc>
        <w:tc>
          <w:tcPr>
            <w:tcW w:w="2551" w:type="dxa"/>
            <w:vAlign w:val="center"/>
          </w:tcPr>
          <w:p>
            <w:pPr>
              <w:pStyle w:val="15"/>
            </w:pPr>
            <w:r>
              <w:t>2.40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2082702</w:t>
            </w:r>
          </w:p>
        </w:tc>
        <w:tc>
          <w:tcPr>
            <w:tcW w:w="4535" w:type="dxa"/>
            <w:vAlign w:val="center"/>
          </w:tcPr>
          <w:p>
            <w:pPr>
              <w:pStyle w:val="16"/>
            </w:pPr>
            <w:r>
              <w:t>财政对工伤保险基金的补助</w:t>
            </w:r>
          </w:p>
        </w:tc>
        <w:tc>
          <w:tcPr>
            <w:tcW w:w="2551" w:type="dxa"/>
            <w:vAlign w:val="center"/>
          </w:tcPr>
          <w:p>
            <w:pPr>
              <w:pStyle w:val="15"/>
            </w:pPr>
            <w:r>
              <w:t>2.40</w:t>
            </w:r>
          </w:p>
        </w:tc>
        <w:tc>
          <w:tcPr>
            <w:tcW w:w="2551" w:type="dxa"/>
            <w:vAlign w:val="center"/>
          </w:tcPr>
          <w:p>
            <w:pPr>
              <w:pStyle w:val="15"/>
            </w:pPr>
            <w:r>
              <w:t>2.40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34.50</w:t>
            </w:r>
          </w:p>
        </w:tc>
        <w:tc>
          <w:tcPr>
            <w:tcW w:w="2551" w:type="dxa"/>
            <w:vAlign w:val="center"/>
          </w:tcPr>
          <w:p>
            <w:pPr>
              <w:pStyle w:val="15"/>
            </w:pPr>
            <w:r>
              <w:t>34.50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34.50</w:t>
            </w:r>
          </w:p>
        </w:tc>
        <w:tc>
          <w:tcPr>
            <w:tcW w:w="2551" w:type="dxa"/>
            <w:vAlign w:val="center"/>
          </w:tcPr>
          <w:p>
            <w:pPr>
              <w:pStyle w:val="15"/>
            </w:pPr>
            <w:r>
              <w:t>34.50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34.50</w:t>
            </w:r>
          </w:p>
        </w:tc>
        <w:tc>
          <w:tcPr>
            <w:tcW w:w="2551" w:type="dxa"/>
            <w:vAlign w:val="center"/>
          </w:tcPr>
          <w:p>
            <w:pPr>
              <w:pStyle w:val="15"/>
            </w:pPr>
            <w:r>
              <w:t>34.50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79.16</w:t>
            </w:r>
          </w:p>
        </w:tc>
        <w:tc>
          <w:tcPr>
            <w:tcW w:w="2551" w:type="dxa"/>
            <w:vAlign w:val="center"/>
          </w:tcPr>
          <w:p>
            <w:pPr>
              <w:pStyle w:val="15"/>
            </w:pPr>
            <w:r>
              <w:t>79.16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79.16</w:t>
            </w:r>
          </w:p>
        </w:tc>
        <w:tc>
          <w:tcPr>
            <w:tcW w:w="2551" w:type="dxa"/>
            <w:vAlign w:val="center"/>
          </w:tcPr>
          <w:p>
            <w:pPr>
              <w:pStyle w:val="15"/>
            </w:pPr>
            <w:r>
              <w:t>79.16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79.16</w:t>
            </w:r>
          </w:p>
        </w:tc>
        <w:tc>
          <w:tcPr>
            <w:tcW w:w="2551" w:type="dxa"/>
            <w:vAlign w:val="center"/>
          </w:tcPr>
          <w:p>
            <w:pPr>
              <w:pStyle w:val="15"/>
            </w:pPr>
            <w:r>
              <w:t>79.16</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1320.80</w:t>
            </w:r>
          </w:p>
        </w:tc>
        <w:tc>
          <w:tcPr>
            <w:tcW w:w="2551" w:type="dxa"/>
            <w:vAlign w:val="center"/>
          </w:tcPr>
          <w:p>
            <w:pPr>
              <w:pStyle w:val="19"/>
            </w:pPr>
            <w:r>
              <w:t>1131.70</w:t>
            </w:r>
          </w:p>
        </w:tc>
        <w:tc>
          <w:tcPr>
            <w:tcW w:w="2551" w:type="dxa"/>
            <w:vAlign w:val="center"/>
          </w:tcPr>
          <w:p>
            <w:pPr>
              <w:pStyle w:val="19"/>
            </w:pPr>
            <w:r>
              <w:t>189.10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1047.37</w:t>
            </w:r>
          </w:p>
        </w:tc>
        <w:tc>
          <w:tcPr>
            <w:tcW w:w="2551" w:type="dxa"/>
            <w:vAlign w:val="center"/>
          </w:tcPr>
          <w:p>
            <w:pPr>
              <w:pStyle w:val="15"/>
            </w:pPr>
            <w:r>
              <w:t>1047.37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310.69</w:t>
            </w:r>
          </w:p>
        </w:tc>
        <w:tc>
          <w:tcPr>
            <w:tcW w:w="2551" w:type="dxa"/>
            <w:vAlign w:val="center"/>
          </w:tcPr>
          <w:p>
            <w:pPr>
              <w:pStyle w:val="15"/>
            </w:pPr>
            <w:r>
              <w:t>310.69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225.49</w:t>
            </w:r>
          </w:p>
        </w:tc>
        <w:tc>
          <w:tcPr>
            <w:tcW w:w="2551" w:type="dxa"/>
            <w:vAlign w:val="center"/>
          </w:tcPr>
          <w:p>
            <w:pPr>
              <w:pStyle w:val="15"/>
            </w:pPr>
            <w:r>
              <w:t>225.49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103.25</w:t>
            </w:r>
          </w:p>
        </w:tc>
        <w:tc>
          <w:tcPr>
            <w:tcW w:w="2551" w:type="dxa"/>
            <w:vAlign w:val="center"/>
          </w:tcPr>
          <w:p>
            <w:pPr>
              <w:pStyle w:val="15"/>
            </w:pPr>
            <w:r>
              <w:t>103.25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196.17</w:t>
            </w:r>
          </w:p>
        </w:tc>
        <w:tc>
          <w:tcPr>
            <w:tcW w:w="2551" w:type="dxa"/>
            <w:vAlign w:val="center"/>
          </w:tcPr>
          <w:p>
            <w:pPr>
              <w:pStyle w:val="15"/>
            </w:pPr>
            <w:r>
              <w:t>196.17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95.71</w:t>
            </w:r>
          </w:p>
        </w:tc>
        <w:tc>
          <w:tcPr>
            <w:tcW w:w="2551" w:type="dxa"/>
            <w:vAlign w:val="center"/>
          </w:tcPr>
          <w:p>
            <w:pPr>
              <w:pStyle w:val="15"/>
            </w:pPr>
            <w:r>
              <w:t>95.71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34.50</w:t>
            </w:r>
          </w:p>
        </w:tc>
        <w:tc>
          <w:tcPr>
            <w:tcW w:w="2551" w:type="dxa"/>
            <w:vAlign w:val="center"/>
          </w:tcPr>
          <w:p>
            <w:pPr>
              <w:pStyle w:val="15"/>
            </w:pPr>
            <w:r>
              <w:t>34.50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2.40</w:t>
            </w:r>
          </w:p>
        </w:tc>
        <w:tc>
          <w:tcPr>
            <w:tcW w:w="2551" w:type="dxa"/>
            <w:vAlign w:val="center"/>
          </w:tcPr>
          <w:p>
            <w:pPr>
              <w:pStyle w:val="15"/>
            </w:pPr>
            <w:r>
              <w:t>2.40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79.16</w:t>
            </w:r>
          </w:p>
        </w:tc>
        <w:tc>
          <w:tcPr>
            <w:tcW w:w="2551" w:type="dxa"/>
            <w:vAlign w:val="center"/>
          </w:tcPr>
          <w:p>
            <w:pPr>
              <w:pStyle w:val="15"/>
            </w:pPr>
            <w:r>
              <w:t>79.16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189.10</w:t>
            </w:r>
          </w:p>
        </w:tc>
        <w:tc>
          <w:tcPr>
            <w:tcW w:w="2551" w:type="dxa"/>
            <w:vAlign w:val="center"/>
          </w:tcPr>
          <w:p>
            <w:pPr>
              <w:pStyle w:val="15"/>
            </w:pPr>
          </w:p>
        </w:tc>
        <w:tc>
          <w:tcPr>
            <w:tcW w:w="2551" w:type="dxa"/>
            <w:vAlign w:val="center"/>
          </w:tcPr>
          <w:p>
            <w:pPr>
              <w:pStyle w:val="15"/>
            </w:pPr>
            <w:r>
              <w:t>189.10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13.82</w:t>
            </w:r>
          </w:p>
        </w:tc>
        <w:tc>
          <w:tcPr>
            <w:tcW w:w="2551" w:type="dxa"/>
            <w:vAlign w:val="center"/>
          </w:tcPr>
          <w:p>
            <w:pPr>
              <w:pStyle w:val="15"/>
            </w:pPr>
          </w:p>
        </w:tc>
        <w:tc>
          <w:tcPr>
            <w:tcW w:w="2551" w:type="dxa"/>
            <w:vAlign w:val="center"/>
          </w:tcPr>
          <w:p>
            <w:pPr>
              <w:pStyle w:val="15"/>
            </w:pPr>
            <w:r>
              <w:t>13.82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1.73</w:t>
            </w:r>
          </w:p>
        </w:tc>
        <w:tc>
          <w:tcPr>
            <w:tcW w:w="2551" w:type="dxa"/>
            <w:vAlign w:val="center"/>
          </w:tcPr>
          <w:p>
            <w:pPr>
              <w:pStyle w:val="15"/>
            </w:pPr>
          </w:p>
        </w:tc>
        <w:tc>
          <w:tcPr>
            <w:tcW w:w="2551" w:type="dxa"/>
            <w:vAlign w:val="center"/>
          </w:tcPr>
          <w:p>
            <w:pPr>
              <w:pStyle w:val="15"/>
            </w:pPr>
            <w:r>
              <w:t>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2.05</w:t>
            </w:r>
          </w:p>
        </w:tc>
        <w:tc>
          <w:tcPr>
            <w:tcW w:w="2551" w:type="dxa"/>
            <w:vAlign w:val="center"/>
          </w:tcPr>
          <w:p>
            <w:pPr>
              <w:pStyle w:val="15"/>
            </w:pPr>
          </w:p>
        </w:tc>
        <w:tc>
          <w:tcPr>
            <w:tcW w:w="2551" w:type="dxa"/>
            <w:vAlign w:val="center"/>
          </w:tcPr>
          <w:p>
            <w:pPr>
              <w:pStyle w:val="15"/>
            </w:pPr>
            <w:r>
              <w:t>2.05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5.76</w:t>
            </w:r>
          </w:p>
        </w:tc>
        <w:tc>
          <w:tcPr>
            <w:tcW w:w="2551" w:type="dxa"/>
            <w:vAlign w:val="center"/>
          </w:tcPr>
          <w:p>
            <w:pPr>
              <w:pStyle w:val="15"/>
            </w:pPr>
          </w:p>
        </w:tc>
        <w:tc>
          <w:tcPr>
            <w:tcW w:w="2551" w:type="dxa"/>
            <w:vAlign w:val="center"/>
          </w:tcPr>
          <w:p>
            <w:pPr>
              <w:pStyle w:val="15"/>
            </w:pPr>
            <w:r>
              <w:t>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24.09</w:t>
            </w:r>
          </w:p>
        </w:tc>
        <w:tc>
          <w:tcPr>
            <w:tcW w:w="2551" w:type="dxa"/>
            <w:vAlign w:val="center"/>
          </w:tcPr>
          <w:p>
            <w:pPr>
              <w:pStyle w:val="15"/>
            </w:pPr>
          </w:p>
        </w:tc>
        <w:tc>
          <w:tcPr>
            <w:tcW w:w="2551" w:type="dxa"/>
            <w:vAlign w:val="center"/>
          </w:tcPr>
          <w:p>
            <w:pPr>
              <w:pStyle w:val="15"/>
            </w:pPr>
            <w:r>
              <w:t>24.09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3.71</w:t>
            </w:r>
          </w:p>
        </w:tc>
        <w:tc>
          <w:tcPr>
            <w:tcW w:w="2551" w:type="dxa"/>
            <w:vAlign w:val="center"/>
          </w:tcPr>
          <w:p>
            <w:pPr>
              <w:pStyle w:val="15"/>
            </w:pPr>
          </w:p>
        </w:tc>
        <w:tc>
          <w:tcPr>
            <w:tcW w:w="2551" w:type="dxa"/>
            <w:vAlign w:val="center"/>
          </w:tcPr>
          <w:p>
            <w:pPr>
              <w:pStyle w:val="15"/>
            </w:pPr>
            <w:r>
              <w:t>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13.31</w:t>
            </w:r>
          </w:p>
        </w:tc>
        <w:tc>
          <w:tcPr>
            <w:tcW w:w="2551" w:type="dxa"/>
            <w:vAlign w:val="center"/>
          </w:tcPr>
          <w:p>
            <w:pPr>
              <w:pStyle w:val="15"/>
            </w:pPr>
          </w:p>
        </w:tc>
        <w:tc>
          <w:tcPr>
            <w:tcW w:w="2551" w:type="dxa"/>
            <w:vAlign w:val="center"/>
          </w:tcPr>
          <w:p>
            <w:pPr>
              <w:pStyle w:val="15"/>
            </w:pPr>
            <w:r>
              <w:t>13.31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1.02</w:t>
            </w:r>
          </w:p>
        </w:tc>
        <w:tc>
          <w:tcPr>
            <w:tcW w:w="2551" w:type="dxa"/>
            <w:vAlign w:val="center"/>
          </w:tcPr>
          <w:p>
            <w:pPr>
              <w:pStyle w:val="15"/>
            </w:pPr>
          </w:p>
        </w:tc>
        <w:tc>
          <w:tcPr>
            <w:tcW w:w="2551" w:type="dxa"/>
            <w:vAlign w:val="center"/>
          </w:tcPr>
          <w:p>
            <w:pPr>
              <w:pStyle w:val="15"/>
            </w:pPr>
            <w:r>
              <w:t>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76.00</w:t>
            </w:r>
          </w:p>
        </w:tc>
        <w:tc>
          <w:tcPr>
            <w:tcW w:w="2551" w:type="dxa"/>
            <w:vAlign w:val="center"/>
          </w:tcPr>
          <w:p>
            <w:pPr>
              <w:pStyle w:val="15"/>
            </w:pPr>
          </w:p>
        </w:tc>
        <w:tc>
          <w:tcPr>
            <w:tcW w:w="2551" w:type="dxa"/>
            <w:vAlign w:val="center"/>
          </w:tcPr>
          <w:p>
            <w:pPr>
              <w:pStyle w:val="15"/>
            </w:pPr>
            <w:r>
              <w:t>76.00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5.61</w:t>
            </w:r>
          </w:p>
        </w:tc>
        <w:tc>
          <w:tcPr>
            <w:tcW w:w="2551" w:type="dxa"/>
            <w:vAlign w:val="center"/>
          </w:tcPr>
          <w:p>
            <w:pPr>
              <w:pStyle w:val="15"/>
            </w:pPr>
          </w:p>
        </w:tc>
        <w:tc>
          <w:tcPr>
            <w:tcW w:w="2551" w:type="dxa"/>
            <w:vAlign w:val="center"/>
          </w:tcPr>
          <w:p>
            <w:pPr>
              <w:pStyle w:val="15"/>
            </w:pPr>
            <w:r>
              <w:t>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5.69</w:t>
            </w:r>
          </w:p>
        </w:tc>
        <w:tc>
          <w:tcPr>
            <w:tcW w:w="2551" w:type="dxa"/>
            <w:vAlign w:val="center"/>
          </w:tcPr>
          <w:p>
            <w:pPr>
              <w:pStyle w:val="15"/>
            </w:pPr>
          </w:p>
        </w:tc>
        <w:tc>
          <w:tcPr>
            <w:tcW w:w="2551" w:type="dxa"/>
            <w:vAlign w:val="center"/>
          </w:tcPr>
          <w:p>
            <w:pPr>
              <w:pStyle w:val="15"/>
            </w:pPr>
            <w:r>
              <w:t>5.69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15.33</w:t>
            </w:r>
          </w:p>
        </w:tc>
        <w:tc>
          <w:tcPr>
            <w:tcW w:w="2551" w:type="dxa"/>
            <w:vAlign w:val="center"/>
          </w:tcPr>
          <w:p>
            <w:pPr>
              <w:pStyle w:val="15"/>
            </w:pPr>
          </w:p>
        </w:tc>
        <w:tc>
          <w:tcPr>
            <w:tcW w:w="2551" w:type="dxa"/>
            <w:vAlign w:val="center"/>
          </w:tcPr>
          <w:p>
            <w:pPr>
              <w:pStyle w:val="15"/>
            </w:pPr>
            <w:r>
              <w:t>15.33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20.98</w:t>
            </w:r>
          </w:p>
        </w:tc>
        <w:tc>
          <w:tcPr>
            <w:tcW w:w="2551" w:type="dxa"/>
            <w:vAlign w:val="center"/>
          </w:tcPr>
          <w:p>
            <w:pPr>
              <w:pStyle w:val="15"/>
            </w:pPr>
          </w:p>
        </w:tc>
        <w:tc>
          <w:tcPr>
            <w:tcW w:w="2551" w:type="dxa"/>
            <w:vAlign w:val="center"/>
          </w:tcPr>
          <w:p>
            <w:pPr>
              <w:pStyle w:val="15"/>
            </w:pPr>
            <w:r>
              <w:t>20.98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84.33</w:t>
            </w:r>
          </w:p>
        </w:tc>
        <w:tc>
          <w:tcPr>
            <w:tcW w:w="2551" w:type="dxa"/>
            <w:vAlign w:val="center"/>
          </w:tcPr>
          <w:p>
            <w:pPr>
              <w:pStyle w:val="15"/>
            </w:pPr>
            <w:r>
              <w:t>84.33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84.33</w:t>
            </w:r>
          </w:p>
        </w:tc>
        <w:tc>
          <w:tcPr>
            <w:tcW w:w="2551" w:type="dxa"/>
            <w:vAlign w:val="center"/>
          </w:tcPr>
          <w:p>
            <w:pPr>
              <w:pStyle w:val="15"/>
            </w:pPr>
            <w:r>
              <w:t>84.33</w:t>
            </w:r>
          </w:p>
        </w:tc>
        <w:tc>
          <w:tcPr>
            <w:tcW w:w="255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91.33</w:t>
            </w:r>
          </w:p>
        </w:tc>
        <w:tc>
          <w:tcPr>
            <w:tcW w:w="2381" w:type="dxa"/>
            <w:vAlign w:val="center"/>
          </w:tcPr>
          <w:p>
            <w:pPr>
              <w:pStyle w:val="19"/>
            </w:pPr>
            <w:r>
              <w:t>91.33</w:t>
            </w:r>
          </w:p>
        </w:tc>
        <w:tc>
          <w:tcPr>
            <w:tcW w:w="2381" w:type="dxa"/>
            <w:vAlign w:val="center"/>
          </w:tcPr>
          <w:p>
            <w:pPr>
              <w:pStyle w:val="19"/>
            </w:pPr>
          </w:p>
        </w:tc>
        <w:tc>
          <w:tcPr>
            <w:tcW w:w="238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15.33</w:t>
            </w:r>
          </w:p>
        </w:tc>
        <w:tc>
          <w:tcPr>
            <w:tcW w:w="2381" w:type="dxa"/>
            <w:vAlign w:val="center"/>
          </w:tcPr>
          <w:p>
            <w:pPr>
              <w:pStyle w:val="15"/>
            </w:pPr>
            <w:r>
              <w:t>15.33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15.33</w:t>
            </w:r>
          </w:p>
        </w:tc>
        <w:tc>
          <w:tcPr>
            <w:tcW w:w="2381" w:type="dxa"/>
            <w:vAlign w:val="center"/>
          </w:tcPr>
          <w:p>
            <w:pPr>
              <w:pStyle w:val="15"/>
            </w:pPr>
            <w:r>
              <w:t>15.33</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r>
              <w:t>76.00</w:t>
            </w:r>
          </w:p>
        </w:tc>
        <w:tc>
          <w:tcPr>
            <w:tcW w:w="2381" w:type="dxa"/>
            <w:vAlign w:val="center"/>
          </w:tcPr>
          <w:p>
            <w:pPr>
              <w:pStyle w:val="15"/>
            </w:pPr>
            <w:r>
              <w:t>76.00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廊坊市广阳区人民政府办公室2025年部门预算信息公开情况说明</w:t>
      </w:r>
    </w:p>
    <w:p>
      <w:pPr>
        <w:jc w:val="center"/>
      </w:pPr>
      <w:r>
        <w:rPr>
          <w:rFonts w:ascii="方正小标宋_GBK" w:hAnsi="方正小标宋_GBK" w:eastAsia="方正小标宋_GBK" w:cs="方正小标宋_GBK"/>
          <w:color w:val="000000"/>
          <w:sz w:val="44"/>
        </w:rPr>
        <w:t>廊坊市广阳区人民政府办公室2025年部门预算信息公开情况说明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按照《中华人民共和国预算法》、《地方预决算公开操作规程》和《关于进一步推进预算公开工作的实施意见》规定，现将廊坊市广阳区人民政府办公室2025年部门预算公开如下：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（一）围绕区政府各时期的中心工作和重点工作，加强调查研究，及时了解、掌握经济和社会发展动态，及时反应信息情况，提出建议。</w:t>
      </w:r>
    </w:p>
    <w:p>
      <w:pPr>
        <w:pStyle w:val="21"/>
      </w:pPr>
      <w:r>
        <w:t>（二）负责区政府各种会议的准备工作，协助区政领导同志组织各类会议。</w:t>
      </w:r>
    </w:p>
    <w:p>
      <w:pPr>
        <w:pStyle w:val="21"/>
      </w:pPr>
      <w:r>
        <w:t>（三）负责区政府重要文、电的起草、审核把关和政府机关的文书处理工作；负责区政府机关的档案管理、印信管理和保密工作。</w:t>
      </w:r>
    </w:p>
    <w:p>
      <w:pPr>
        <w:pStyle w:val="21"/>
      </w:pPr>
      <w:r>
        <w:t>（四）负责区政府工作报告、领导同志重要讲话及其他重要材料的起草、修改工作。</w:t>
      </w:r>
    </w:p>
    <w:p>
      <w:pPr>
        <w:pStyle w:val="21"/>
      </w:pPr>
      <w:r>
        <w:t>（五）根据工作需要，负责与区委、人大、政协、纪委、中省直驻廊</w:t>
      </w:r>
      <w:r>
        <w:rPr>
          <w:highlight w:val="none"/>
        </w:rPr>
        <w:t>单位</w:t>
      </w:r>
      <w:r>
        <w:t>和驻廊部队的联系；协调乡镇、街办处、部门之间的关系和工作，对重要的问题提出处理意见，报区政府领导审定。</w:t>
      </w:r>
    </w:p>
    <w:p>
      <w:pPr>
        <w:pStyle w:val="21"/>
      </w:pPr>
      <w:r>
        <w:t>（六）督促检查区政府各部门、各乡镇人民政府、街道办事处对省政府、市政府、区政府重要文件，区政府会议决定事项及区政府领导同志重要批示的执行、落实情况，并向区政府领导同志报告。</w:t>
      </w:r>
    </w:p>
    <w:p>
      <w:pPr>
        <w:pStyle w:val="21"/>
      </w:pPr>
      <w:r>
        <w:t>（七）负责区政府机关值班工作，及时向区政府领导同志报告重要情况，协助领导同志组织处理突发事件、重大灾情和重大事故。</w:t>
      </w:r>
    </w:p>
    <w:p>
      <w:pPr>
        <w:pStyle w:val="21"/>
      </w:pPr>
      <w:r>
        <w:t>（八）负责全国、省、市、区人大代表建议、批评、意见及全国、省、市、区政协提案的办理工作。</w:t>
      </w:r>
    </w:p>
    <w:p>
      <w:pPr>
        <w:pStyle w:val="21"/>
      </w:pPr>
      <w:r>
        <w:t>（九）负责区政府外宾、内宾接待，公务接待工作。</w:t>
      </w:r>
    </w:p>
    <w:p>
      <w:pPr>
        <w:pStyle w:val="21"/>
      </w:pPr>
      <w:r>
        <w:t>（十）负责经济体制改革工作，负责区政府机关事务管理工作。</w:t>
      </w:r>
    </w:p>
    <w:p>
      <w:pPr>
        <w:pStyle w:val="21"/>
      </w:pPr>
      <w:r>
        <w:t>（十一）办理区政府领导交办的其他事项。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廊坊市广阳区人民政府办公室本级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按照预算管理有关规定，目前部门预算的编制实行综合预算管理，即全部收入和支出都反映在预算中。廊坊市广阳区人民政府办公室机关及所属事业单位的收支包含在部门预算中。</w:t>
      </w:r>
    </w:p>
    <w:p>
      <w:pPr>
        <w:pStyle w:val="22"/>
      </w:pPr>
      <w:r>
        <w:t>1、收入说明</w:t>
      </w:r>
    </w:p>
    <w:p>
      <w:pPr>
        <w:pStyle w:val="22"/>
      </w:pPr>
      <w:r>
        <w:t>反映本部门当年全部收入。2025年预算收入1995.75万元，其中：一般公共预算收入1995.75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廊坊市广阳区人民政府办公室年度部门预算中支出预算的总体情况。2025年支出预算1995.75万元，其中基本支出1320.80万元，包括人员经费1131.70万元和日常公用经费189.10万元；项目支出674.95万元，主要为政务服管理经费、金融处非工作经费、大气污染综合管控服务经费、政务系统上云服务经费。</w:t>
      </w:r>
    </w:p>
    <w:p>
      <w:pPr>
        <w:pStyle w:val="22"/>
      </w:pPr>
      <w:r>
        <w:t>3、比上年增减情况</w:t>
      </w:r>
    </w:p>
    <w:p>
      <w:pPr>
        <w:pStyle w:val="22"/>
      </w:pPr>
      <w:r>
        <w:t>2025年预算收支安排1995.75万元，较2024年预算增加580.75万元，其中：基本支出增加189.11万元，主要为人员类经费和公用类经费支出增加。项目支出增加391.64万元，主要为金融处非工作经费、大气污染综合管控服务经费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2025年，我部门机关运行经费共计安排189.10万元，主要用于日常维修、办公用房水电费、办公用房取暖费、办公用房物业管理费等日常运行支出。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91.33万元，其中因公出国（境）费0.00万元；公务用车购置及运维费15.33万元（其中：公务用车购置费为0.00万元，公务用车运维费15.33万元)；公务接待费76.00万元。与2024年相比增加0.00万元，增减变化的主要原因是与2024年想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s="Times New Roman"/>
          <w:color w:val="000000"/>
          <w:sz w:val="28"/>
        </w:rPr>
        <w:t>（一）总体绩效目标</w:t>
      </w:r>
    </w:p>
    <w:p>
      <w:pPr>
        <w:pStyle w:val="25"/>
      </w:pPr>
      <w:r>
        <w:t>政务服务管理：突出政务、加强事务、提升服务，力求重点工作出精品，难点工作求突破、基础工作有创新、常规工作见特色，保障机关后勤工作；及时维修维护水、电管线；加强各楼层楼道、厕所卫生管理，办公耗材费用及办公设施维护，一招人员生活保障；电子政务管理：确保各类会议顺利进行，保障区政府网络系统安全、稳定运行，技术设备安全可用，严格执行会议技术保障服务流程和电视电话会议室管理制度，切实提高技术保障和服务能力，力争领导满意、群众满意、部门满意；综合服务保障：确保机关办公内网使用（全区共40根光纤）及中心办公网络使用正常；金融生态环境建设：地方金融机构建设与协调合作，金融生态环境建设，研究制定我区金融协同发展方案，引进金融机构、金融后台等。</w:t>
      </w:r>
    </w:p>
    <w:p>
      <w:pPr>
        <w:spacing w:line="500" w:lineRule="exact"/>
        <w:ind w:firstLine="560"/>
      </w:pPr>
      <w:r>
        <w:rPr>
          <w:rFonts w:eastAsia="方正仿宋_GBK" w:cs="Times New Roman"/>
          <w:color w:val="000000"/>
          <w:sz w:val="28"/>
        </w:rPr>
        <w:t>（二）分项绩效目标</w:t>
      </w:r>
    </w:p>
    <w:p>
      <w:pPr>
        <w:pStyle w:val="26"/>
      </w:pPr>
      <w:r>
        <w:t>1、区政府一招人员经费</w:t>
      </w:r>
    </w:p>
    <w:p>
      <w:pPr>
        <w:pStyle w:val="26"/>
      </w:pPr>
      <w:r>
        <w:t>绩效目标：通过项目的开展保证区政府办一招人员待遇落实到位，满足经费需求，保障职工队伍稳定。</w:t>
      </w:r>
    </w:p>
    <w:p>
      <w:pPr>
        <w:pStyle w:val="26"/>
      </w:pPr>
      <w:r>
        <w:t>绩效指标：数量指标为发放人员数量70人次，质量指标为发放标准准确率大于等于95%，时效指标为每季度发放完成，成本指标为不超过110万元，社会效益指标为有效保障人员生活需求，保持队伍稳定，服务对象满意度为满意人数占全部人数的比例大于等于90%。</w:t>
      </w:r>
    </w:p>
    <w:p>
      <w:pPr>
        <w:pStyle w:val="26"/>
      </w:pPr>
      <w:r>
        <w:t>2、政务服务管理经费</w:t>
      </w:r>
    </w:p>
    <w:p>
      <w:pPr>
        <w:pStyle w:val="26"/>
      </w:pPr>
      <w:r>
        <w:t>绩效目标：通过项目的开展满足工作所需经费开支，保障区政府办工作有序进行，保障广阳区人民政府办公室完成上级布置的各项工作，加大管理力度，维护社会稳定。</w:t>
      </w:r>
    </w:p>
    <w:p>
      <w:pPr>
        <w:pStyle w:val="26"/>
      </w:pPr>
      <w:r>
        <w:t>绩效指标：数量指标为完成工作量占应完成总量的比例大于等于95%，质量指标为合格数量占总数量的比例大于等于95%，时效指标为每季度支出，成本指标为不超过150万元，社会效益指标为有效提升业务保障能力，经济效益指标为资金使用效率为100%，服务对象满意度为满意人数占全部人数的比例大于等于95%。</w:t>
      </w:r>
    </w:p>
    <w:p>
      <w:pPr>
        <w:pStyle w:val="26"/>
      </w:pPr>
      <w:r>
        <w:t>3、政务系统迁移上云工作经费</w:t>
      </w:r>
    </w:p>
    <w:p>
      <w:pPr>
        <w:pStyle w:val="26"/>
      </w:pPr>
      <w:r>
        <w:t>绩效目标：通过项目的开展，确保我区数字河北、数字廊坊考核中“数字政府”建设达标，确保系统上云平稳有序，进一步提高云资源使用效率。</w:t>
      </w:r>
    </w:p>
    <w:p>
      <w:pPr>
        <w:pStyle w:val="26"/>
      </w:pPr>
      <w:r>
        <w:t>绩效指标：数量指标为上云系统数量2个，质量指标为政务云服务质量等于100%，时效指标为项目进度计划完成率等于100%，成本指标为小于23.32万元，社会效益项目标为有效提高云资源使用效率，经济效益指标为及时提供信息通讯保障，服务对象满意度为满意人数占总人数的比例大于等于95%</w:t>
      </w:r>
    </w:p>
    <w:p>
      <w:pPr>
        <w:pStyle w:val="26"/>
      </w:pPr>
      <w:r>
        <w:t>4、政务服务大厅标准化建设经费</w:t>
      </w:r>
      <w:r>
        <w:tab/>
      </w:r>
      <w:r>
        <w:tab/>
      </w:r>
      <w:r>
        <w:tab/>
      </w:r>
    </w:p>
    <w:p>
      <w:pPr>
        <w:pStyle w:val="26"/>
      </w:pPr>
      <w:r>
        <w:t>绩效目标：通过项目的开展，达到政务服务中心建设标准，保障广阳区政务服务事项有序开展，提升区政务服务中心效能考核，维护社会稳定。</w:t>
      </w:r>
      <w:r>
        <w:tab/>
      </w:r>
      <w:r>
        <w:t>绩效指标：</w:t>
      </w:r>
      <w:r>
        <w:tab/>
      </w:r>
      <w:r>
        <w:t>数量指标为购置家具数量为1批，质量指标为购置家具质量合格率为100%，时效指标为采购时效在12个月以内，成本指标为小于20.632万元，社会效益指标为改善政务服务环境和办公环境，可持续影响指标为办公设备使用年限应大于6年。</w:t>
      </w:r>
    </w:p>
    <w:p>
      <w:pPr>
        <w:pStyle w:val="26"/>
      </w:pPr>
      <w:r>
        <w:t>5、金融处非工作经费</w:t>
      </w:r>
      <w:r>
        <w:tab/>
      </w:r>
    </w:p>
    <w:p>
      <w:pPr>
        <w:pStyle w:val="26"/>
      </w:pPr>
      <w:r>
        <w:t>绩效目标：</w:t>
      </w:r>
      <w:r>
        <w:tab/>
      </w:r>
      <w:r>
        <w:t>通过项目开展，有效提高社会公众风险防范意识，遏制非法集资行为滋生蔓延，减轻我区处非工作压力，维护我区社会、经济稳定发展。</w:t>
      </w:r>
    </w:p>
    <w:p>
      <w:pPr>
        <w:pStyle w:val="26"/>
      </w:pPr>
      <w:r>
        <w:t>绩效指标：</w:t>
      </w:r>
      <w:r>
        <w:tab/>
      </w:r>
      <w:r>
        <w:t>数量指标为制作宣传品数量应大于5万份，质量指标为维护系统合格率应大于95%，时效指标为系统问题及时解决率应大于等于90%，成本指标为控制成本不超过10万元，效益指标为社会效益面向辖区内居民共同开展宣传，提高群众防范意识，经济效益指标提高辖区内居民防范意识，增加金融知识。</w:t>
      </w:r>
    </w:p>
    <w:p>
      <w:pPr>
        <w:pStyle w:val="26"/>
      </w:pPr>
      <w:r>
        <w:t>6、大气污染综合管控服务经费</w:t>
      </w:r>
    </w:p>
    <w:p>
      <w:pPr>
        <w:pStyle w:val="26"/>
      </w:pPr>
      <w:r>
        <w:t>绩效目标：</w:t>
      </w:r>
      <w:r>
        <w:tab/>
      </w:r>
      <w:r>
        <w:t>通过项目的开展实现广阳区大气污染综合管控服务，实时调度管控、智能研判分析、污染专项溯源、考核调度及目标分解服务、培训服务、辅助激光雷达服务，保障大气污染防治精准科学目标的达成。</w:t>
      </w:r>
    </w:p>
    <w:p>
      <w:pPr>
        <w:pStyle w:val="26"/>
      </w:pPr>
      <w:r>
        <w:t>通过项目的开展完成实时调度信息数量≥1000条，智能研判分析报告数量≥450份，污染专项溯源≥300天，积尘走航监测服务次数＝12次，VOC走航监测服务次数＝4次,考核调度及目标分解服务≥12次，培训服务≥2次；报告质量≥85%，报告时效≤0.5倍周期（天），项目总投资≤410万元，实现及时上报和污染分析指导。反映各项污染物生成原因分析与污染物的削减、空气质量持续改善、辅助提高环境改善效率情况、被服务对象满意度均≥90%。</w:t>
      </w:r>
    </w:p>
    <w:p>
      <w:pPr>
        <w:pStyle w:val="26"/>
      </w:pPr>
      <w:r>
        <w:t>绩效指标：</w:t>
      </w:r>
      <w:r>
        <w:tab/>
      </w:r>
      <w:r>
        <w:t>数量指标为实时调度信息大于1000条，只能研判分析报告大于等于450份，污染专项溯源日常巡查服务天数大于300天，积尘走航监测反应积尘报告数量12次，反应VOC走航报告数量情况4次，考核调度及目标分解服务数量12次，培训服务2次。质量指标为反映报告质量情况大于85%，时效指标为反映报告时效情况应小于等于0.5倍周期/天，成本指标为项目总投资应小于等于410万元，社会效益指标为反映对各项污染物生成原因分析与污染物的治理情况</w:t>
      </w:r>
      <w:r>
        <w:tab/>
      </w:r>
      <w:r>
        <w:t>预期效果应大于等于90%，生态效益指标为颗粒物、臭氧等污染物削减，空气质量持续改善预期效果应大于等于90%，可持续影响指标为辅助提高环境改善效率效果应大于等于90%。</w:t>
      </w:r>
      <w:r>
        <w:tab/>
      </w:r>
      <w:r>
        <w:tab/>
      </w:r>
      <w:r>
        <w:tab/>
      </w:r>
      <w:r>
        <w:tab/>
      </w:r>
      <w:r>
        <w:tab/>
      </w:r>
      <w:r>
        <w:tab/>
      </w:r>
      <w:r>
        <w:tab/>
      </w:r>
      <w:r>
        <w:tab/>
      </w:r>
      <w:r>
        <w:tab/>
      </w:r>
    </w:p>
    <w:p>
      <w:pPr>
        <w:spacing w:line="500" w:lineRule="exact"/>
        <w:ind w:firstLine="560"/>
      </w:pPr>
      <w:r>
        <w:rPr>
          <w:rFonts w:eastAsia="方正仿宋_GBK" w:cs="Times New Roman"/>
          <w:color w:val="000000"/>
          <w:sz w:val="28"/>
        </w:rPr>
        <w:t>（三）工作保障措施</w:t>
      </w:r>
    </w:p>
    <w:p>
      <w:pPr>
        <w:pStyle w:val="27"/>
      </w:pPr>
      <w:r>
        <w:t>做好财务工作，要制定好工作计划，加强财务管理，完善财务制度，做到财务计划工作长计划、短安排，使财务工作在规范化、制度化的良好环境。我们将严格按会计制度要求办理一切会计业务，做好工作保障措施。</w:t>
      </w:r>
    </w:p>
    <w:p>
      <w:pPr>
        <w:pStyle w:val="27"/>
      </w:pPr>
      <w:r>
        <w:t>1、完善制度建设。认真贯彻执行有关的财务管理制度，加强财务核算管理，反应分析财务计划的执行情况，检查监督财务纪律。</w:t>
      </w:r>
    </w:p>
    <w:p>
      <w:pPr>
        <w:pStyle w:val="27"/>
      </w:pPr>
      <w:r>
        <w:t>2、加强支出管理。从</w:t>
      </w:r>
      <w:bookmarkStart w:id="33" w:name="_GoBack"/>
      <w:r>
        <w:rPr>
          <w:highlight w:val="none"/>
        </w:rPr>
        <w:t>单位</w:t>
      </w:r>
      <w:bookmarkEnd w:id="33"/>
      <w:r>
        <w:t>的切实发展需要出发，做好会计核算工作，加强对财务工作的监督与检查，确保各项支出符合标准，手续齐全，资金合规，真正实现财务支出规范化、合理化。</w:t>
      </w:r>
    </w:p>
    <w:p>
      <w:pPr>
        <w:pStyle w:val="27"/>
      </w:pPr>
      <w:r>
        <w:t>3、强化预算执行。将年度预算细化分解，落实到岗，落实到人。科学制定预算使用计划，加快履行政府采购程序，及时启动项目和支付资金，根据需要召开调度会，及时协调解决工作中存在的困难和问题。</w:t>
      </w:r>
    </w:p>
    <w:p>
      <w:pPr>
        <w:pStyle w:val="27"/>
      </w:pPr>
      <w:r>
        <w:t>4、加强内控建设。建立健全内部控制体系，认真执行财经法规和政策要求，对重大支出、资产处置及其他重要经济事项进行有效监督，并完善内部审计，配合做好审计、财政等外部检查，确保资金使用安全有效。</w:t>
      </w:r>
    </w:p>
    <w:p>
      <w:pPr>
        <w:pStyle w:val="27"/>
      </w:pPr>
      <w:r>
        <w:t>5、完善绩效管理。制定完善预算绩效管理制度，健全资金管理办法和工作保障机制，加大宣传培训力度，强化部门预算绩效管理意识，进一步提升预算绩效管理水平。</w:t>
      </w:r>
    </w:p>
    <w:p>
      <w:pPr>
        <w:pStyle w:val="27"/>
      </w:pPr>
      <w:r>
        <w:t>6、按要求开展绩效运行监控，认真做好绩效评价工作，按月通报支付进度，督促相关股室加快项目执行，确保绩效目标如期保质实现，提高财政资金使用效益。</w:t>
      </w:r>
    </w:p>
    <w:p>
      <w:pPr>
        <w:pStyle w:val="27"/>
      </w:pPr>
      <w:r>
        <w:t>7、规范财务资产管理。建立健全固定资产管理制度，对新购、报废的固定资产及时登记与核查，做到账账相符，账实相符。</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8、加强宣传培训调研。财会人员积极参加会计继续教育和各种会计业务培训，在日常工作中加强学习会计制度和法规，不断提高自身素质和业务水平。</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32"/>
        <w:gridCol w:w="1836"/>
        <w:gridCol w:w="1634"/>
        <w:gridCol w:w="2239"/>
        <w:gridCol w:w="4841"/>
        <w:gridCol w:w="833"/>
        <w:gridCol w:w="498"/>
        <w:gridCol w:w="1071"/>
        <w:gridCol w:w="846"/>
      </w:tblGrid>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shd w:val="clear" w:color="auto" w:fill="auto"/>
            <w:tcMar>
              <w:top w:w="15" w:type="dxa"/>
              <w:left w:w="15" w:type="dxa"/>
              <w:bottom w:w="0" w:type="dxa"/>
              <w:right w:w="15" w:type="dxa"/>
            </w:tcMar>
            <w:vAlign w:val="center"/>
          </w:tcPr>
          <w:p>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restar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619" w:type="pct"/>
            <w:vMerge w:val="restar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551" w:type="pct"/>
            <w:vMerge w:val="restar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755" w:type="pct"/>
            <w:vMerge w:val="restar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632" w:type="pct"/>
            <w:vMerge w:val="restar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10" w:type="pct"/>
            <w:gridSpan w:val="3"/>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281" w:type="pct"/>
            <w:vMerge w:val="restar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48" w:type="pct"/>
            <w:vMerge w:val="continue"/>
            <w:shd w:val="clear" w:color="auto" w:fill="auto"/>
            <w:vAlign w:val="center"/>
          </w:tcPr>
          <w:p>
            <w:pPr>
              <w:rPr>
                <w:rFonts w:ascii="宋体" w:hAnsi="宋体" w:eastAsia="宋体" w:cs="宋体"/>
                <w:color w:val="000000"/>
                <w:sz w:val="22"/>
                <w:szCs w:val="22"/>
              </w:rPr>
            </w:pPr>
          </w:p>
        </w:tc>
        <w:tc>
          <w:tcPr>
            <w:tcW w:w="619" w:type="pct"/>
            <w:vMerge w:val="continue"/>
            <w:shd w:val="clear" w:color="auto" w:fill="auto"/>
            <w:vAlign w:val="center"/>
          </w:tcPr>
          <w:p>
            <w:pPr>
              <w:rPr>
                <w:rFonts w:ascii="宋体" w:hAnsi="宋体" w:eastAsia="宋体" w:cs="宋体"/>
                <w:color w:val="000000"/>
                <w:sz w:val="22"/>
                <w:szCs w:val="22"/>
              </w:rPr>
            </w:pPr>
          </w:p>
        </w:tc>
        <w:tc>
          <w:tcPr>
            <w:tcW w:w="551" w:type="pct"/>
            <w:vMerge w:val="continue"/>
            <w:shd w:val="clear" w:color="auto" w:fill="auto"/>
            <w:vAlign w:val="center"/>
          </w:tcPr>
          <w:p>
            <w:pPr>
              <w:rPr>
                <w:rFonts w:ascii="宋体" w:hAnsi="宋体" w:eastAsia="宋体" w:cs="宋体"/>
                <w:color w:val="000000"/>
                <w:sz w:val="22"/>
                <w:szCs w:val="22"/>
              </w:rPr>
            </w:pPr>
          </w:p>
        </w:tc>
        <w:tc>
          <w:tcPr>
            <w:tcW w:w="755" w:type="pct"/>
            <w:vMerge w:val="continue"/>
            <w:shd w:val="clear" w:color="auto" w:fill="auto"/>
            <w:vAlign w:val="center"/>
          </w:tcPr>
          <w:p>
            <w:pPr>
              <w:rPr>
                <w:rFonts w:ascii="宋体" w:hAnsi="宋体" w:eastAsia="宋体" w:cs="宋体"/>
                <w:color w:val="000000"/>
                <w:sz w:val="22"/>
                <w:szCs w:val="22"/>
              </w:rPr>
            </w:pPr>
          </w:p>
        </w:tc>
        <w:tc>
          <w:tcPr>
            <w:tcW w:w="1632" w:type="pct"/>
            <w:vMerge w:val="continue"/>
            <w:shd w:val="clear" w:color="auto" w:fill="auto"/>
            <w:vAlign w:val="center"/>
          </w:tcPr>
          <w:p>
            <w:pPr>
              <w:rPr>
                <w:rFonts w:ascii="宋体" w:hAnsi="宋体" w:eastAsia="宋体" w:cs="宋体"/>
                <w:color w:val="000000"/>
                <w:sz w:val="22"/>
                <w:szCs w:val="22"/>
              </w:rPr>
            </w:pPr>
          </w:p>
        </w:tc>
        <w:tc>
          <w:tcPr>
            <w:tcW w:w="281" w:type="pc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168" w:type="pc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361" w:type="pct"/>
            <w:shd w:val="clear" w:color="auto" w:fill="auto"/>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281" w:type="pct"/>
            <w:vMerge w:val="continue"/>
            <w:shd w:val="clear" w:color="auto" w:fill="auto"/>
            <w:vAlign w:val="center"/>
          </w:tcPr>
          <w:p>
            <w:pPr>
              <w:rPr>
                <w:rFonts w:ascii="宋体" w:hAnsi="宋体" w:eastAsia="宋体" w:cs="宋体"/>
                <w:color w:val="000000"/>
                <w:sz w:val="22"/>
                <w:szCs w:val="22"/>
              </w:rPr>
            </w:pP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restar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619" w:type="pct"/>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55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上云系统数量</w:t>
            </w:r>
          </w:p>
        </w:tc>
        <w:tc>
          <w:tcPr>
            <w:tcW w:w="755"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上云系统数量</w:t>
            </w:r>
          </w:p>
        </w:tc>
        <w:tc>
          <w:tcPr>
            <w:tcW w:w="1632"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达到指标值满分，每降低指标值</w:t>
            </w:r>
            <w:r>
              <w:rPr>
                <w:rFonts w:ascii="Calibri" w:hAnsi="Calibri" w:cs="Calibri"/>
                <w:color w:val="000000"/>
                <w:sz w:val="22"/>
                <w:szCs w:val="22"/>
              </w:rPr>
              <w:t>50%</w:t>
            </w:r>
            <w:r>
              <w:rPr>
                <w:rFonts w:hint="eastAsia" w:ascii="宋体" w:hAnsi="宋体" w:eastAsia="宋体" w:cs="宋体"/>
                <w:color w:val="000000"/>
                <w:sz w:val="22"/>
                <w:szCs w:val="22"/>
              </w:rPr>
              <w:t>，扣权重分</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68"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2</w:t>
            </w:r>
          </w:p>
        </w:tc>
        <w:tc>
          <w:tcPr>
            <w:tcW w:w="36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个</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合同</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continue"/>
            <w:shd w:val="clear" w:color="auto" w:fill="auto"/>
            <w:vAlign w:val="center"/>
          </w:tcPr>
          <w:p>
            <w:pPr>
              <w:rPr>
                <w:rFonts w:ascii="Calibri" w:hAnsi="Calibri" w:eastAsia="宋体" w:cs="Calibri"/>
                <w:color w:val="000000"/>
                <w:sz w:val="22"/>
                <w:szCs w:val="22"/>
              </w:rPr>
            </w:pPr>
          </w:p>
        </w:tc>
        <w:tc>
          <w:tcPr>
            <w:tcW w:w="619" w:type="pct"/>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55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发放人员数量</w:t>
            </w:r>
          </w:p>
        </w:tc>
        <w:tc>
          <w:tcPr>
            <w:tcW w:w="755"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发放人员数量</w:t>
            </w:r>
          </w:p>
        </w:tc>
        <w:tc>
          <w:tcPr>
            <w:tcW w:w="1632"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达到指标值满分，每降低指标值</w:t>
            </w:r>
            <w:r>
              <w:rPr>
                <w:rFonts w:ascii="Calibri" w:hAnsi="Calibri" w:cs="Calibri"/>
                <w:color w:val="000000"/>
                <w:sz w:val="22"/>
                <w:szCs w:val="22"/>
              </w:rPr>
              <w:t>1%</w:t>
            </w:r>
            <w:r>
              <w:rPr>
                <w:rFonts w:hint="eastAsia" w:ascii="宋体" w:hAnsi="宋体" w:eastAsia="宋体" w:cs="宋体"/>
                <w:color w:val="000000"/>
                <w:sz w:val="22"/>
                <w:szCs w:val="22"/>
              </w:rPr>
              <w:t>，扣权重分</w:t>
            </w:r>
            <w:r>
              <w:rPr>
                <w:rFonts w:ascii="Calibri" w:hAnsi="Calibri" w:cs="Calibri"/>
                <w:color w:val="000000"/>
                <w:sz w:val="22"/>
                <w:szCs w:val="22"/>
              </w:rPr>
              <w:t>1%</w:t>
            </w:r>
            <w:r>
              <w:rPr>
                <w:rFonts w:hint="eastAsia" w:ascii="宋体" w:hAnsi="宋体" w:eastAsia="宋体" w:cs="宋体"/>
                <w:color w:val="000000"/>
                <w:sz w:val="22"/>
                <w:szCs w:val="22"/>
              </w:rPr>
              <w:t>。</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68"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70</w:t>
            </w:r>
          </w:p>
        </w:tc>
        <w:tc>
          <w:tcPr>
            <w:tcW w:w="36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人次</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实有人数</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continue"/>
            <w:shd w:val="clear" w:color="auto" w:fill="auto"/>
            <w:vAlign w:val="center"/>
          </w:tcPr>
          <w:p>
            <w:pPr>
              <w:rPr>
                <w:rFonts w:ascii="Calibri" w:hAnsi="Calibri" w:eastAsia="宋体" w:cs="Calibri"/>
                <w:color w:val="000000"/>
                <w:sz w:val="22"/>
                <w:szCs w:val="22"/>
              </w:rPr>
            </w:pPr>
          </w:p>
        </w:tc>
        <w:tc>
          <w:tcPr>
            <w:tcW w:w="619" w:type="pct"/>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55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政务云服务质量</w:t>
            </w:r>
          </w:p>
        </w:tc>
        <w:tc>
          <w:tcPr>
            <w:tcW w:w="755"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政务云服务质量</w:t>
            </w:r>
          </w:p>
        </w:tc>
        <w:tc>
          <w:tcPr>
            <w:tcW w:w="1632"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达到指标值满分，每降低指标值</w:t>
            </w:r>
            <w:r>
              <w:rPr>
                <w:rFonts w:ascii="Calibri" w:hAnsi="Calibri" w:cs="Calibri"/>
                <w:color w:val="000000"/>
                <w:sz w:val="22"/>
                <w:szCs w:val="22"/>
              </w:rPr>
              <w:t>1%</w:t>
            </w:r>
            <w:r>
              <w:rPr>
                <w:rFonts w:hint="eastAsia" w:ascii="宋体" w:hAnsi="宋体" w:eastAsia="宋体" w:cs="宋体"/>
                <w:color w:val="000000"/>
                <w:sz w:val="22"/>
                <w:szCs w:val="22"/>
              </w:rPr>
              <w:t>，扣权重分</w:t>
            </w:r>
            <w:r>
              <w:rPr>
                <w:rFonts w:ascii="Calibri" w:hAnsi="Calibri" w:cs="Calibri"/>
                <w:color w:val="000000"/>
                <w:sz w:val="22"/>
                <w:szCs w:val="22"/>
              </w:rPr>
              <w:t>1%</w:t>
            </w:r>
            <w:r>
              <w:rPr>
                <w:rFonts w:hint="eastAsia" w:ascii="宋体" w:hAnsi="宋体" w:eastAsia="宋体" w:cs="宋体"/>
                <w:color w:val="000000"/>
                <w:sz w:val="22"/>
                <w:szCs w:val="22"/>
              </w:rPr>
              <w:t>。</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68"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36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验收报告</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continue"/>
            <w:shd w:val="clear" w:color="auto" w:fill="auto"/>
            <w:vAlign w:val="center"/>
          </w:tcPr>
          <w:p>
            <w:pPr>
              <w:rPr>
                <w:rFonts w:ascii="Calibri" w:hAnsi="Calibri" w:eastAsia="宋体" w:cs="Calibri"/>
                <w:color w:val="000000"/>
                <w:sz w:val="22"/>
                <w:szCs w:val="22"/>
              </w:rPr>
            </w:pPr>
          </w:p>
        </w:tc>
        <w:tc>
          <w:tcPr>
            <w:tcW w:w="619" w:type="pct"/>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55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采购质量合格率</w:t>
            </w:r>
          </w:p>
        </w:tc>
        <w:tc>
          <w:tcPr>
            <w:tcW w:w="755"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采购质量合格率</w:t>
            </w:r>
          </w:p>
        </w:tc>
        <w:tc>
          <w:tcPr>
            <w:tcW w:w="1632"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达到指标值满分，每降低指标值</w:t>
            </w:r>
            <w:r>
              <w:rPr>
                <w:rFonts w:ascii="Calibri" w:hAnsi="Calibri" w:cs="Calibri"/>
                <w:color w:val="000000"/>
                <w:sz w:val="22"/>
                <w:szCs w:val="22"/>
              </w:rPr>
              <w:t>1%</w:t>
            </w:r>
            <w:r>
              <w:rPr>
                <w:rFonts w:hint="eastAsia" w:ascii="宋体" w:hAnsi="宋体" w:eastAsia="宋体" w:cs="宋体"/>
                <w:color w:val="000000"/>
                <w:sz w:val="22"/>
                <w:szCs w:val="22"/>
              </w:rPr>
              <w:t>，扣权重分</w:t>
            </w:r>
            <w:r>
              <w:rPr>
                <w:rFonts w:ascii="Calibri" w:hAnsi="Calibri" w:cs="Calibri"/>
                <w:color w:val="000000"/>
                <w:sz w:val="22"/>
                <w:szCs w:val="22"/>
              </w:rPr>
              <w:t>1%</w:t>
            </w:r>
            <w:r>
              <w:rPr>
                <w:rFonts w:hint="eastAsia" w:ascii="宋体" w:hAnsi="宋体" w:eastAsia="宋体" w:cs="宋体"/>
                <w:color w:val="000000"/>
                <w:sz w:val="22"/>
                <w:szCs w:val="22"/>
              </w:rPr>
              <w:t>。</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68"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36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验收报告</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continue"/>
            <w:shd w:val="clear" w:color="auto" w:fill="auto"/>
            <w:vAlign w:val="center"/>
          </w:tcPr>
          <w:p>
            <w:pPr>
              <w:rPr>
                <w:rFonts w:ascii="Calibri" w:hAnsi="Calibri" w:eastAsia="宋体" w:cs="Calibri"/>
                <w:color w:val="000000"/>
                <w:sz w:val="22"/>
                <w:szCs w:val="22"/>
              </w:rPr>
            </w:pPr>
          </w:p>
        </w:tc>
        <w:tc>
          <w:tcPr>
            <w:tcW w:w="619" w:type="pct"/>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55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发放完成时间</w:t>
            </w:r>
          </w:p>
        </w:tc>
        <w:tc>
          <w:tcPr>
            <w:tcW w:w="755"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发放完成时间</w:t>
            </w:r>
          </w:p>
        </w:tc>
        <w:tc>
          <w:tcPr>
            <w:tcW w:w="1632"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达到指标值满分，每超过指标值</w:t>
            </w:r>
            <w:r>
              <w:rPr>
                <w:rFonts w:ascii="Calibri" w:hAnsi="Calibri" w:cs="Calibri"/>
                <w:color w:val="000000"/>
                <w:sz w:val="22"/>
                <w:szCs w:val="22"/>
              </w:rPr>
              <w:t>10%</w:t>
            </w:r>
            <w:r>
              <w:rPr>
                <w:rFonts w:hint="eastAsia" w:ascii="宋体" w:hAnsi="宋体" w:eastAsia="宋体" w:cs="宋体"/>
                <w:color w:val="000000"/>
                <w:sz w:val="22"/>
                <w:szCs w:val="22"/>
              </w:rPr>
              <w:t>，扣权重分</w:t>
            </w:r>
            <w:r>
              <w:rPr>
                <w:rFonts w:ascii="Calibri" w:hAnsi="Calibri" w:cs="Calibri"/>
                <w:color w:val="000000"/>
                <w:sz w:val="22"/>
                <w:szCs w:val="22"/>
              </w:rPr>
              <w:t>10%</w:t>
            </w:r>
            <w:r>
              <w:rPr>
                <w:rFonts w:hint="eastAsia" w:ascii="宋体" w:hAnsi="宋体" w:eastAsia="宋体" w:cs="宋体"/>
                <w:color w:val="000000"/>
                <w:sz w:val="22"/>
                <w:szCs w:val="22"/>
              </w:rPr>
              <w:t>。</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68"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6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季度发放</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支付凭证</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continue"/>
            <w:shd w:val="clear" w:color="auto" w:fill="auto"/>
            <w:vAlign w:val="center"/>
          </w:tcPr>
          <w:p>
            <w:pPr>
              <w:rPr>
                <w:rFonts w:ascii="Calibri" w:hAnsi="Calibri" w:eastAsia="宋体" w:cs="Calibri"/>
                <w:color w:val="000000"/>
                <w:sz w:val="22"/>
                <w:szCs w:val="22"/>
              </w:rPr>
            </w:pPr>
          </w:p>
        </w:tc>
        <w:tc>
          <w:tcPr>
            <w:tcW w:w="619" w:type="pct"/>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55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不超预算成本</w:t>
            </w:r>
          </w:p>
        </w:tc>
        <w:tc>
          <w:tcPr>
            <w:tcW w:w="755"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不超预算成本</w:t>
            </w:r>
          </w:p>
        </w:tc>
        <w:tc>
          <w:tcPr>
            <w:tcW w:w="1632"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达到指标值满分，未达到指标值不得分。</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68"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6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不超预算成本</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支付凭证</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restar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619" w:type="pct"/>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经济效益指标</w:t>
            </w:r>
          </w:p>
        </w:tc>
        <w:tc>
          <w:tcPr>
            <w:tcW w:w="55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提高资金使用效率</w:t>
            </w:r>
          </w:p>
        </w:tc>
        <w:tc>
          <w:tcPr>
            <w:tcW w:w="755"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提高资金使用效率</w:t>
            </w:r>
          </w:p>
        </w:tc>
        <w:tc>
          <w:tcPr>
            <w:tcW w:w="1632"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达到指标值满分，未达到指标值不得分。</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68"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6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有效提高</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调查问询</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vMerge w:val="continue"/>
            <w:shd w:val="clear" w:color="auto" w:fill="auto"/>
            <w:vAlign w:val="center"/>
          </w:tcPr>
          <w:p>
            <w:pPr>
              <w:rPr>
                <w:rFonts w:ascii="Calibri" w:hAnsi="Calibri" w:eastAsia="宋体" w:cs="Calibri"/>
                <w:color w:val="000000"/>
                <w:sz w:val="22"/>
                <w:szCs w:val="22"/>
              </w:rPr>
            </w:pPr>
          </w:p>
        </w:tc>
        <w:tc>
          <w:tcPr>
            <w:tcW w:w="619" w:type="pct"/>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55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保障人员生活需求</w:t>
            </w:r>
          </w:p>
        </w:tc>
        <w:tc>
          <w:tcPr>
            <w:tcW w:w="755"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保障人员生活需求</w:t>
            </w:r>
          </w:p>
        </w:tc>
        <w:tc>
          <w:tcPr>
            <w:tcW w:w="1632"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达到指标值满分，未达到指标值不得分。</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168"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36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有效保障</w:t>
            </w:r>
          </w:p>
        </w:tc>
        <w:tc>
          <w:tcPr>
            <w:tcW w:w="281" w:type="pct"/>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调查问询</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48" w:type="pct"/>
            <w:tcBorders>
              <w:bottom w:val="single" w:color="auto"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619" w:type="pct"/>
            <w:tcBorders>
              <w:bottom w:val="single" w:color="auto" w:sz="8" w:space="0"/>
            </w:tcBorders>
            <w:shd w:val="clear" w:color="auto" w:fill="auto"/>
            <w:noWrap/>
            <w:tcMar>
              <w:top w:w="15" w:type="dxa"/>
              <w:left w:w="15" w:type="dxa"/>
              <w:bottom w:w="0" w:type="dxa"/>
              <w:right w:w="15" w:type="dxa"/>
            </w:tcMar>
            <w:vAlign w:val="center"/>
          </w:tcPr>
          <w:p>
            <w:pP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551" w:type="pct"/>
            <w:tcBorders>
              <w:bottom w:val="single" w:color="auto"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服务对象满意度</w:t>
            </w:r>
          </w:p>
        </w:tc>
        <w:tc>
          <w:tcPr>
            <w:tcW w:w="755" w:type="pct"/>
            <w:tcBorders>
              <w:bottom w:val="single" w:color="auto"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满意人数占总人数的比例</w:t>
            </w:r>
          </w:p>
        </w:tc>
        <w:tc>
          <w:tcPr>
            <w:tcW w:w="1632" w:type="pct"/>
            <w:tcBorders>
              <w:bottom w:val="single" w:color="auto"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达到指标值满分，每降低指标值</w:t>
            </w:r>
            <w:r>
              <w:rPr>
                <w:rFonts w:ascii="Calibri" w:hAnsi="Calibri" w:cs="Calibri"/>
                <w:color w:val="000000"/>
                <w:sz w:val="22"/>
                <w:szCs w:val="22"/>
              </w:rPr>
              <w:t>1%</w:t>
            </w:r>
            <w:r>
              <w:rPr>
                <w:rFonts w:hint="eastAsia" w:ascii="宋体" w:hAnsi="宋体" w:eastAsia="宋体" w:cs="宋体"/>
                <w:color w:val="000000"/>
                <w:sz w:val="22"/>
                <w:szCs w:val="22"/>
              </w:rPr>
              <w:t>，扣权重分</w:t>
            </w:r>
            <w:r>
              <w:rPr>
                <w:rFonts w:ascii="Calibri" w:hAnsi="Calibri" w:cs="Calibri"/>
                <w:color w:val="000000"/>
                <w:sz w:val="22"/>
                <w:szCs w:val="22"/>
              </w:rPr>
              <w:t>1%</w:t>
            </w:r>
            <w:r>
              <w:rPr>
                <w:rFonts w:hint="eastAsia" w:ascii="宋体" w:hAnsi="宋体" w:eastAsia="宋体" w:cs="宋体"/>
                <w:color w:val="000000"/>
                <w:sz w:val="22"/>
                <w:szCs w:val="22"/>
              </w:rPr>
              <w:t>。</w:t>
            </w:r>
          </w:p>
        </w:tc>
        <w:tc>
          <w:tcPr>
            <w:tcW w:w="281" w:type="pct"/>
            <w:tcBorders>
              <w:bottom w:val="single" w:color="auto"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168" w:type="pct"/>
            <w:tcBorders>
              <w:bottom w:val="single" w:color="auto"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361" w:type="pct"/>
            <w:tcBorders>
              <w:bottom w:val="single" w:color="auto"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81" w:type="pct"/>
            <w:tcBorders>
              <w:bottom w:val="single" w:color="auto" w:sz="8" w:space="0"/>
            </w:tcBorders>
            <w:shd w:val="clear" w:color="auto" w:fill="auto"/>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调查问询</w:t>
            </w: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1、金融处非工作经费绩效目标表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13100325P000026100310</w:t>
            </w:r>
          </w:p>
        </w:tc>
        <w:tc>
          <w:tcPr>
            <w:tcW w:w="2835" w:type="dxa"/>
            <w:vAlign w:val="center"/>
          </w:tcPr>
          <w:p>
            <w:pPr>
              <w:pStyle w:val="14"/>
            </w:pPr>
            <w:r>
              <w:t>项目名称</w:t>
            </w:r>
          </w:p>
        </w:tc>
        <w:tc>
          <w:tcPr>
            <w:tcW w:w="6095" w:type="dxa"/>
            <w:gridSpan w:val="3"/>
            <w:vAlign w:val="center"/>
          </w:tcPr>
          <w:p>
            <w:pPr>
              <w:pStyle w:val="16"/>
            </w:pPr>
            <w:r>
              <w:t>金融处非工作经费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10.00</w:t>
            </w:r>
          </w:p>
        </w:tc>
        <w:tc>
          <w:tcPr>
            <w:tcW w:w="2835" w:type="dxa"/>
            <w:vAlign w:val="center"/>
          </w:tcPr>
          <w:p>
            <w:pPr>
              <w:pStyle w:val="14"/>
            </w:pPr>
            <w:r>
              <w:t>其中：财政    资金</w:t>
            </w:r>
          </w:p>
        </w:tc>
        <w:tc>
          <w:tcPr>
            <w:tcW w:w="2551" w:type="dxa"/>
            <w:vAlign w:val="center"/>
          </w:tcPr>
          <w:p>
            <w:pPr>
              <w:pStyle w:val="16"/>
            </w:pPr>
            <w:r>
              <w:t>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用于印刷宣传品及系统维护等支出。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    通过项目开展，有效提高社会公众风险防范意识，遏制非法集资行为滋生蔓延，减轻我区处非工作压力，维护我区社会、经济稳定发展。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制作宣传品数量</w:t>
            </w:r>
          </w:p>
        </w:tc>
        <w:tc>
          <w:tcPr>
            <w:tcW w:w="5386" w:type="dxa"/>
            <w:vAlign w:val="center"/>
          </w:tcPr>
          <w:p>
            <w:pPr>
              <w:pStyle w:val="16"/>
            </w:pPr>
            <w:r>
              <w:t>宣传活动中发放宣传品</w:t>
            </w:r>
          </w:p>
        </w:tc>
        <w:tc>
          <w:tcPr>
            <w:tcW w:w="2268" w:type="dxa"/>
            <w:vAlign w:val="center"/>
          </w:tcPr>
          <w:p>
            <w:pPr>
              <w:pStyle w:val="16"/>
            </w:pPr>
            <w:r>
              <w:t>≥5万份</w:t>
            </w:r>
          </w:p>
        </w:tc>
        <w:tc>
          <w:tcPr>
            <w:tcW w:w="1276" w:type="dxa"/>
            <w:vAlign w:val="center"/>
          </w:tcPr>
          <w:p>
            <w:pPr>
              <w:pStyle w:val="16"/>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维护系统合格率</w:t>
            </w:r>
          </w:p>
        </w:tc>
        <w:tc>
          <w:tcPr>
            <w:tcW w:w="5386" w:type="dxa"/>
            <w:vAlign w:val="center"/>
          </w:tcPr>
          <w:p>
            <w:pPr>
              <w:pStyle w:val="16"/>
            </w:pPr>
            <w:r>
              <w:t>维护合格数量占总数量的比率</w:t>
            </w:r>
          </w:p>
        </w:tc>
        <w:tc>
          <w:tcPr>
            <w:tcW w:w="2268" w:type="dxa"/>
            <w:vAlign w:val="center"/>
          </w:tcPr>
          <w:p>
            <w:pPr>
              <w:pStyle w:val="16"/>
            </w:pPr>
            <w:r>
              <w:t>≥95%</w:t>
            </w:r>
          </w:p>
        </w:tc>
        <w:tc>
          <w:tcPr>
            <w:tcW w:w="1276" w:type="dxa"/>
            <w:vAlign w:val="center"/>
          </w:tcPr>
          <w:p>
            <w:pPr>
              <w:pStyle w:val="16"/>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系统问题及时解决率</w:t>
            </w:r>
          </w:p>
        </w:tc>
        <w:tc>
          <w:tcPr>
            <w:tcW w:w="5386" w:type="dxa"/>
            <w:vAlign w:val="center"/>
          </w:tcPr>
          <w:p>
            <w:pPr>
              <w:pStyle w:val="16"/>
            </w:pPr>
            <w:r>
              <w:t>及时解决问题数占应解决总问题数的比率</w:t>
            </w:r>
          </w:p>
        </w:tc>
        <w:tc>
          <w:tcPr>
            <w:tcW w:w="2268" w:type="dxa"/>
            <w:vAlign w:val="center"/>
          </w:tcPr>
          <w:p>
            <w:pPr>
              <w:pStyle w:val="16"/>
            </w:pPr>
            <w:r>
              <w:t>≥90%</w:t>
            </w:r>
          </w:p>
        </w:tc>
        <w:tc>
          <w:tcPr>
            <w:tcW w:w="1276" w:type="dxa"/>
            <w:vAlign w:val="center"/>
          </w:tcPr>
          <w:p>
            <w:pPr>
              <w:pStyle w:val="16"/>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控制成本不超标</w:t>
            </w:r>
          </w:p>
        </w:tc>
        <w:tc>
          <w:tcPr>
            <w:tcW w:w="5386" w:type="dxa"/>
            <w:vAlign w:val="center"/>
          </w:tcPr>
          <w:p>
            <w:pPr>
              <w:pStyle w:val="16"/>
            </w:pPr>
            <w:r>
              <w:t>控制成本不超标</w:t>
            </w:r>
          </w:p>
        </w:tc>
        <w:tc>
          <w:tcPr>
            <w:tcW w:w="2268" w:type="dxa"/>
            <w:vAlign w:val="center"/>
          </w:tcPr>
          <w:p>
            <w:pPr>
              <w:pStyle w:val="16"/>
            </w:pPr>
            <w:r>
              <w:t>10万元</w:t>
            </w:r>
          </w:p>
        </w:tc>
        <w:tc>
          <w:tcPr>
            <w:tcW w:w="1276" w:type="dxa"/>
            <w:vAlign w:val="center"/>
          </w:tcPr>
          <w:p>
            <w:pPr>
              <w:pStyle w:val="16"/>
            </w:pPr>
            <w:r>
              <w:t>支出计划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面向辖区内居民共同开展宣传</w:t>
            </w:r>
          </w:p>
        </w:tc>
        <w:tc>
          <w:tcPr>
            <w:tcW w:w="5386" w:type="dxa"/>
            <w:vAlign w:val="center"/>
          </w:tcPr>
          <w:p>
            <w:pPr>
              <w:pStyle w:val="16"/>
            </w:pPr>
            <w:r>
              <w:t>提高防范意识</w:t>
            </w:r>
          </w:p>
        </w:tc>
        <w:tc>
          <w:tcPr>
            <w:tcW w:w="2268" w:type="dxa"/>
            <w:vAlign w:val="center"/>
          </w:tcPr>
          <w:p>
            <w:pPr>
              <w:pStyle w:val="16"/>
            </w:pPr>
            <w:r>
              <w:t>有效提高群众防范意识</w:t>
            </w:r>
          </w:p>
        </w:tc>
        <w:tc>
          <w:tcPr>
            <w:tcW w:w="1276" w:type="dxa"/>
            <w:vAlign w:val="center"/>
          </w:tcPr>
          <w:p>
            <w:pPr>
              <w:pStyle w:val="16"/>
            </w:pPr>
            <w:r>
              <w:t>调查问询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经济效益指标</w:t>
            </w:r>
          </w:p>
        </w:tc>
        <w:tc>
          <w:tcPr>
            <w:tcW w:w="2835" w:type="dxa"/>
            <w:vAlign w:val="center"/>
          </w:tcPr>
          <w:p>
            <w:pPr>
              <w:pStyle w:val="16"/>
            </w:pPr>
            <w:r>
              <w:t>提高辖区内居民防范意识，增加金融知识</w:t>
            </w:r>
          </w:p>
        </w:tc>
        <w:tc>
          <w:tcPr>
            <w:tcW w:w="5386" w:type="dxa"/>
            <w:vAlign w:val="center"/>
          </w:tcPr>
          <w:p>
            <w:pPr>
              <w:pStyle w:val="16"/>
            </w:pPr>
            <w:r>
              <w:t>提高防范意识</w:t>
            </w:r>
          </w:p>
        </w:tc>
        <w:tc>
          <w:tcPr>
            <w:tcW w:w="2268" w:type="dxa"/>
            <w:vAlign w:val="center"/>
          </w:tcPr>
          <w:p>
            <w:pPr>
              <w:pStyle w:val="16"/>
            </w:pPr>
            <w:r>
              <w:t>有效提高群众防范意识</w:t>
            </w:r>
          </w:p>
        </w:tc>
        <w:tc>
          <w:tcPr>
            <w:tcW w:w="1276" w:type="dxa"/>
            <w:vAlign w:val="center"/>
          </w:tcPr>
          <w:p>
            <w:pPr>
              <w:pStyle w:val="16"/>
            </w:pPr>
            <w:r>
              <w:t>调查问询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宣传对象满意度指标</w:t>
            </w:r>
          </w:p>
        </w:tc>
        <w:tc>
          <w:tcPr>
            <w:tcW w:w="5386" w:type="dxa"/>
            <w:vAlign w:val="center"/>
          </w:tcPr>
          <w:p>
            <w:pPr>
              <w:pStyle w:val="16"/>
            </w:pPr>
            <w:r>
              <w:t>宣传对象满意度人数占总人数的比例</w:t>
            </w:r>
          </w:p>
        </w:tc>
        <w:tc>
          <w:tcPr>
            <w:tcW w:w="2268" w:type="dxa"/>
            <w:vAlign w:val="center"/>
          </w:tcPr>
          <w:p>
            <w:pPr>
              <w:pStyle w:val="16"/>
            </w:pPr>
            <w:r>
              <w:t>≥90%</w:t>
            </w:r>
          </w:p>
        </w:tc>
        <w:tc>
          <w:tcPr>
            <w:tcW w:w="1276" w:type="dxa"/>
            <w:vAlign w:val="center"/>
          </w:tcPr>
          <w:p>
            <w:pPr>
              <w:pStyle w:val="16"/>
            </w:pPr>
            <w:r>
              <w:t>调查问询</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2、政务服务大厅标准化建设经费绩效目标表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13100325P000026100266</w:t>
            </w:r>
          </w:p>
        </w:tc>
        <w:tc>
          <w:tcPr>
            <w:tcW w:w="2835" w:type="dxa"/>
            <w:vAlign w:val="center"/>
          </w:tcPr>
          <w:p>
            <w:pPr>
              <w:pStyle w:val="14"/>
            </w:pPr>
            <w:r>
              <w:t>项目名称</w:t>
            </w:r>
          </w:p>
        </w:tc>
        <w:tc>
          <w:tcPr>
            <w:tcW w:w="6095" w:type="dxa"/>
            <w:gridSpan w:val="3"/>
            <w:vAlign w:val="center"/>
          </w:tcPr>
          <w:p>
            <w:pPr>
              <w:pStyle w:val="16"/>
            </w:pPr>
            <w:r>
              <w:t>政务服务大厅标准化建设经费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20.63</w:t>
            </w:r>
          </w:p>
        </w:tc>
        <w:tc>
          <w:tcPr>
            <w:tcW w:w="2835" w:type="dxa"/>
            <w:vAlign w:val="center"/>
          </w:tcPr>
          <w:p>
            <w:pPr>
              <w:pStyle w:val="14"/>
            </w:pPr>
            <w:r>
              <w:t>其中：财政    资金</w:t>
            </w:r>
          </w:p>
        </w:tc>
        <w:tc>
          <w:tcPr>
            <w:tcW w:w="2551" w:type="dxa"/>
            <w:vAlign w:val="center"/>
          </w:tcPr>
          <w:p>
            <w:pPr>
              <w:pStyle w:val="16"/>
            </w:pPr>
            <w:r>
              <w:t>20.63</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区审批局为了满足我区政务服务大厅面积达到省级要求，进行标准化建设改造，为达到办公要求需增加相应配套办公设施家具。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100%</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1.通过项目的开展，达到政务服务中心建设标准，保障广阳区政务服务事项有序开展，提升区政务服务中心效能考核，维护社会稳定。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购置家具数量</w:t>
            </w:r>
          </w:p>
        </w:tc>
        <w:tc>
          <w:tcPr>
            <w:tcW w:w="5386" w:type="dxa"/>
            <w:vAlign w:val="center"/>
          </w:tcPr>
          <w:p>
            <w:pPr>
              <w:pStyle w:val="16"/>
            </w:pPr>
            <w:r>
              <w:t>购置家具数量</w:t>
            </w:r>
          </w:p>
        </w:tc>
        <w:tc>
          <w:tcPr>
            <w:tcW w:w="2268" w:type="dxa"/>
            <w:vAlign w:val="center"/>
          </w:tcPr>
          <w:p>
            <w:pPr>
              <w:pStyle w:val="16"/>
            </w:pPr>
            <w:r>
              <w:t>1批</w:t>
            </w:r>
          </w:p>
        </w:tc>
        <w:tc>
          <w:tcPr>
            <w:tcW w:w="1276" w:type="dxa"/>
            <w:vAlign w:val="center"/>
          </w:tcPr>
          <w:p>
            <w:pPr>
              <w:pStyle w:val="16"/>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购置质量合格率</w:t>
            </w:r>
          </w:p>
        </w:tc>
        <w:tc>
          <w:tcPr>
            <w:tcW w:w="5386" w:type="dxa"/>
            <w:vAlign w:val="center"/>
          </w:tcPr>
          <w:p>
            <w:pPr>
              <w:pStyle w:val="16"/>
            </w:pPr>
            <w:r>
              <w:t>购置质量合格率</w:t>
            </w:r>
          </w:p>
        </w:tc>
        <w:tc>
          <w:tcPr>
            <w:tcW w:w="2268" w:type="dxa"/>
            <w:vAlign w:val="center"/>
          </w:tcPr>
          <w:p>
            <w:pPr>
              <w:pStyle w:val="16"/>
            </w:pPr>
            <w:r>
              <w:t>100%</w:t>
            </w:r>
          </w:p>
        </w:tc>
        <w:tc>
          <w:tcPr>
            <w:tcW w:w="1276" w:type="dxa"/>
            <w:vAlign w:val="center"/>
          </w:tcPr>
          <w:p>
            <w:pPr>
              <w:pStyle w:val="16"/>
            </w:pPr>
            <w:r>
              <w:t>采购验收单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采购时限</w:t>
            </w:r>
          </w:p>
        </w:tc>
        <w:tc>
          <w:tcPr>
            <w:tcW w:w="5386" w:type="dxa"/>
            <w:vAlign w:val="center"/>
          </w:tcPr>
          <w:p>
            <w:pPr>
              <w:pStyle w:val="16"/>
            </w:pPr>
            <w:r>
              <w:t>采购时限</w:t>
            </w:r>
          </w:p>
        </w:tc>
        <w:tc>
          <w:tcPr>
            <w:tcW w:w="2268" w:type="dxa"/>
            <w:vAlign w:val="center"/>
          </w:tcPr>
          <w:p>
            <w:pPr>
              <w:pStyle w:val="16"/>
            </w:pPr>
            <w:r>
              <w:t>≤12月份</w:t>
            </w:r>
          </w:p>
        </w:tc>
        <w:tc>
          <w:tcPr>
            <w:tcW w:w="1276" w:type="dxa"/>
            <w:vAlign w:val="center"/>
          </w:tcPr>
          <w:p>
            <w:pPr>
              <w:pStyle w:val="16"/>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不超预算成本</w:t>
            </w:r>
          </w:p>
        </w:tc>
        <w:tc>
          <w:tcPr>
            <w:tcW w:w="5386" w:type="dxa"/>
            <w:vAlign w:val="center"/>
          </w:tcPr>
          <w:p>
            <w:pPr>
              <w:pStyle w:val="16"/>
            </w:pPr>
            <w:r>
              <w:t>不超预算成本</w:t>
            </w:r>
          </w:p>
        </w:tc>
        <w:tc>
          <w:tcPr>
            <w:tcW w:w="2268" w:type="dxa"/>
            <w:vAlign w:val="center"/>
          </w:tcPr>
          <w:p>
            <w:pPr>
              <w:pStyle w:val="16"/>
            </w:pPr>
            <w:r>
              <w:t>不超20.632万元</w:t>
            </w:r>
          </w:p>
        </w:tc>
        <w:tc>
          <w:tcPr>
            <w:tcW w:w="1276" w:type="dxa"/>
            <w:vAlign w:val="center"/>
          </w:tcPr>
          <w:p>
            <w:pPr>
              <w:pStyle w:val="16"/>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改善政务服务环境</w:t>
            </w:r>
          </w:p>
        </w:tc>
        <w:tc>
          <w:tcPr>
            <w:tcW w:w="5386" w:type="dxa"/>
            <w:vAlign w:val="center"/>
          </w:tcPr>
          <w:p>
            <w:pPr>
              <w:pStyle w:val="16"/>
            </w:pPr>
            <w:r>
              <w:t>改善办公环境</w:t>
            </w:r>
          </w:p>
        </w:tc>
        <w:tc>
          <w:tcPr>
            <w:tcW w:w="2268" w:type="dxa"/>
            <w:vAlign w:val="center"/>
          </w:tcPr>
          <w:p>
            <w:pPr>
              <w:pStyle w:val="16"/>
            </w:pPr>
            <w:r>
              <w:t>有效改善</w:t>
            </w:r>
          </w:p>
        </w:tc>
        <w:tc>
          <w:tcPr>
            <w:tcW w:w="1276" w:type="dxa"/>
            <w:vAlign w:val="center"/>
          </w:tcPr>
          <w:p>
            <w:pPr>
              <w:pStyle w:val="16"/>
            </w:pPr>
            <w:r>
              <w:t>调查问询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办公设备使用年限</w:t>
            </w:r>
          </w:p>
        </w:tc>
        <w:tc>
          <w:tcPr>
            <w:tcW w:w="5386" w:type="dxa"/>
            <w:vAlign w:val="center"/>
          </w:tcPr>
          <w:p>
            <w:pPr>
              <w:pStyle w:val="16"/>
            </w:pPr>
            <w:r>
              <w:t>办公设备使用年限</w:t>
            </w:r>
          </w:p>
        </w:tc>
        <w:tc>
          <w:tcPr>
            <w:tcW w:w="2268" w:type="dxa"/>
            <w:vAlign w:val="center"/>
          </w:tcPr>
          <w:p>
            <w:pPr>
              <w:pStyle w:val="16"/>
            </w:pPr>
            <w:r>
              <w:t>≥6年</w:t>
            </w:r>
          </w:p>
        </w:tc>
        <w:tc>
          <w:tcPr>
            <w:tcW w:w="1276" w:type="dxa"/>
            <w:vAlign w:val="center"/>
          </w:tcPr>
          <w:p>
            <w:pPr>
              <w:pStyle w:val="16"/>
            </w:pPr>
            <w:r>
              <w:t>实际使用情况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满意人数占总人数的比例</w:t>
            </w:r>
          </w:p>
        </w:tc>
        <w:tc>
          <w:tcPr>
            <w:tcW w:w="2268" w:type="dxa"/>
            <w:vAlign w:val="center"/>
          </w:tcPr>
          <w:p>
            <w:pPr>
              <w:pStyle w:val="16"/>
            </w:pPr>
            <w:r>
              <w:t>≥95%</w:t>
            </w:r>
          </w:p>
        </w:tc>
        <w:tc>
          <w:tcPr>
            <w:tcW w:w="1276" w:type="dxa"/>
            <w:vAlign w:val="center"/>
          </w:tcPr>
          <w:p>
            <w:pPr>
              <w:pStyle w:val="16"/>
            </w:pPr>
            <w:r>
              <w:t>调查问询</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3、政务服务管理经费绩效目标表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13100325P000026100195</w:t>
            </w:r>
          </w:p>
        </w:tc>
        <w:tc>
          <w:tcPr>
            <w:tcW w:w="2835" w:type="dxa"/>
            <w:vAlign w:val="center"/>
          </w:tcPr>
          <w:p>
            <w:pPr>
              <w:pStyle w:val="14"/>
            </w:pPr>
            <w:r>
              <w:t>项目名称</w:t>
            </w:r>
          </w:p>
        </w:tc>
        <w:tc>
          <w:tcPr>
            <w:tcW w:w="6095" w:type="dxa"/>
            <w:gridSpan w:val="3"/>
            <w:vAlign w:val="center"/>
          </w:tcPr>
          <w:p>
            <w:pPr>
              <w:pStyle w:val="16"/>
            </w:pPr>
            <w:r>
              <w:t>政务服务管理经费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150.00</w:t>
            </w:r>
          </w:p>
        </w:tc>
        <w:tc>
          <w:tcPr>
            <w:tcW w:w="2835" w:type="dxa"/>
            <w:vAlign w:val="center"/>
          </w:tcPr>
          <w:p>
            <w:pPr>
              <w:pStyle w:val="14"/>
            </w:pPr>
            <w:r>
              <w:t>其中：财政    资金</w:t>
            </w:r>
          </w:p>
        </w:tc>
        <w:tc>
          <w:tcPr>
            <w:tcW w:w="2551" w:type="dxa"/>
            <w:vAlign w:val="center"/>
          </w:tcPr>
          <w:p>
            <w:pPr>
              <w:pStyle w:val="16"/>
            </w:pPr>
            <w:r>
              <w:t>150.00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主要用于日常购置各项办公设备、办公用品、办公耗材、办公设备维修、办公设备硬件更换、电脑系统维护、办公楼及其附属设施维修维护、印刷费、网络维护费、报刊订阅费等各项日常办公保障费用。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1.通过项目的开展满足工作所需经费开支，保障区政府办工作有序进行，保障广阳区人民政府办公室完成上级布置的各项工作，加大管理力度，维护社会稳定。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业务保障人数</w:t>
            </w:r>
          </w:p>
        </w:tc>
        <w:tc>
          <w:tcPr>
            <w:tcW w:w="5386" w:type="dxa"/>
            <w:vAlign w:val="center"/>
          </w:tcPr>
          <w:p>
            <w:pPr>
              <w:pStyle w:val="16"/>
            </w:pPr>
            <w:r>
              <w:t>采购业务保障人数</w:t>
            </w:r>
          </w:p>
        </w:tc>
        <w:tc>
          <w:tcPr>
            <w:tcW w:w="2268" w:type="dxa"/>
            <w:vAlign w:val="center"/>
          </w:tcPr>
          <w:p>
            <w:pPr>
              <w:pStyle w:val="16"/>
            </w:pPr>
            <w:r>
              <w:t>≥200人</w:t>
            </w:r>
          </w:p>
        </w:tc>
        <w:tc>
          <w:tcPr>
            <w:tcW w:w="1276" w:type="dxa"/>
            <w:vAlign w:val="center"/>
          </w:tcPr>
          <w:p>
            <w:pPr>
              <w:pStyle w:val="16"/>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采购质量合格率</w:t>
            </w:r>
          </w:p>
        </w:tc>
        <w:tc>
          <w:tcPr>
            <w:tcW w:w="5386" w:type="dxa"/>
            <w:vAlign w:val="center"/>
          </w:tcPr>
          <w:p>
            <w:pPr>
              <w:pStyle w:val="16"/>
            </w:pPr>
            <w:r>
              <w:t>合格数量占总数量的比例</w:t>
            </w:r>
          </w:p>
        </w:tc>
        <w:tc>
          <w:tcPr>
            <w:tcW w:w="2268" w:type="dxa"/>
            <w:vAlign w:val="center"/>
          </w:tcPr>
          <w:p>
            <w:pPr>
              <w:pStyle w:val="16"/>
            </w:pPr>
            <w:r>
              <w:t>≥95%</w:t>
            </w:r>
          </w:p>
        </w:tc>
        <w:tc>
          <w:tcPr>
            <w:tcW w:w="1276" w:type="dxa"/>
            <w:vAlign w:val="center"/>
          </w:tcPr>
          <w:p>
            <w:pPr>
              <w:pStyle w:val="16"/>
            </w:pPr>
            <w:r>
              <w:t>采购验收单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采购完成时间</w:t>
            </w:r>
          </w:p>
        </w:tc>
        <w:tc>
          <w:tcPr>
            <w:tcW w:w="5386" w:type="dxa"/>
            <w:vAlign w:val="center"/>
          </w:tcPr>
          <w:p>
            <w:pPr>
              <w:pStyle w:val="16"/>
            </w:pPr>
            <w:r>
              <w:t>采购完成时间</w:t>
            </w:r>
          </w:p>
        </w:tc>
        <w:tc>
          <w:tcPr>
            <w:tcW w:w="2268" w:type="dxa"/>
            <w:vAlign w:val="center"/>
          </w:tcPr>
          <w:p>
            <w:pPr>
              <w:pStyle w:val="16"/>
            </w:pPr>
            <w:r>
              <w:t>每季度支出</w:t>
            </w:r>
          </w:p>
        </w:tc>
        <w:tc>
          <w:tcPr>
            <w:tcW w:w="1276" w:type="dxa"/>
            <w:vAlign w:val="center"/>
          </w:tcPr>
          <w:p>
            <w:pPr>
              <w:pStyle w:val="16"/>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不超预算成本</w:t>
            </w:r>
          </w:p>
        </w:tc>
        <w:tc>
          <w:tcPr>
            <w:tcW w:w="5386" w:type="dxa"/>
            <w:vAlign w:val="center"/>
          </w:tcPr>
          <w:p>
            <w:pPr>
              <w:pStyle w:val="16"/>
            </w:pPr>
            <w:r>
              <w:t>不超预算成本</w:t>
            </w:r>
          </w:p>
        </w:tc>
        <w:tc>
          <w:tcPr>
            <w:tcW w:w="2268" w:type="dxa"/>
            <w:vAlign w:val="center"/>
          </w:tcPr>
          <w:p>
            <w:pPr>
              <w:pStyle w:val="16"/>
            </w:pPr>
            <w:r>
              <w:t>≤150万元</w:t>
            </w:r>
          </w:p>
        </w:tc>
        <w:tc>
          <w:tcPr>
            <w:tcW w:w="1276" w:type="dxa"/>
            <w:vAlign w:val="center"/>
          </w:tcPr>
          <w:p>
            <w:pPr>
              <w:pStyle w:val="16"/>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业务保障能力提升情况</w:t>
            </w:r>
          </w:p>
        </w:tc>
        <w:tc>
          <w:tcPr>
            <w:tcW w:w="5386" w:type="dxa"/>
            <w:vAlign w:val="center"/>
          </w:tcPr>
          <w:p>
            <w:pPr>
              <w:pStyle w:val="16"/>
            </w:pPr>
            <w:r>
              <w:t>购置对业务保障能力的提升情况</w:t>
            </w:r>
          </w:p>
        </w:tc>
        <w:tc>
          <w:tcPr>
            <w:tcW w:w="2268" w:type="dxa"/>
            <w:vAlign w:val="center"/>
          </w:tcPr>
          <w:p>
            <w:pPr>
              <w:pStyle w:val="16"/>
            </w:pPr>
            <w:r>
              <w:t>有效提升</w:t>
            </w:r>
          </w:p>
        </w:tc>
        <w:tc>
          <w:tcPr>
            <w:tcW w:w="1276" w:type="dxa"/>
            <w:vAlign w:val="center"/>
          </w:tcPr>
          <w:p>
            <w:pPr>
              <w:pStyle w:val="16"/>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满意人数占总人数的比例</w:t>
            </w:r>
          </w:p>
        </w:tc>
        <w:tc>
          <w:tcPr>
            <w:tcW w:w="2268" w:type="dxa"/>
            <w:vAlign w:val="center"/>
          </w:tcPr>
          <w:p>
            <w:pPr>
              <w:pStyle w:val="16"/>
            </w:pPr>
            <w:r>
              <w:t>≥95%</w:t>
            </w:r>
          </w:p>
        </w:tc>
        <w:tc>
          <w:tcPr>
            <w:tcW w:w="1276" w:type="dxa"/>
            <w:vAlign w:val="center"/>
          </w:tcPr>
          <w:p>
            <w:pPr>
              <w:pStyle w:val="16"/>
            </w:pPr>
            <w:r>
              <w:t>调查问询</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4、大气污染综合管控服务经费绩效目标表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13100325P00006510011F</w:t>
            </w:r>
          </w:p>
        </w:tc>
        <w:tc>
          <w:tcPr>
            <w:tcW w:w="2835" w:type="dxa"/>
            <w:vAlign w:val="center"/>
          </w:tcPr>
          <w:p>
            <w:pPr>
              <w:pStyle w:val="14"/>
            </w:pPr>
            <w:r>
              <w:t>项目名称</w:t>
            </w:r>
          </w:p>
        </w:tc>
        <w:tc>
          <w:tcPr>
            <w:tcW w:w="6095" w:type="dxa"/>
            <w:gridSpan w:val="3"/>
            <w:vAlign w:val="center"/>
          </w:tcPr>
          <w:p>
            <w:pPr>
              <w:pStyle w:val="16"/>
            </w:pPr>
            <w:r>
              <w:t>大气污染综合管控服务经费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410.00</w:t>
            </w:r>
          </w:p>
        </w:tc>
        <w:tc>
          <w:tcPr>
            <w:tcW w:w="2835" w:type="dxa"/>
            <w:vAlign w:val="center"/>
          </w:tcPr>
          <w:p>
            <w:pPr>
              <w:pStyle w:val="14"/>
            </w:pPr>
            <w:r>
              <w:t>其中：财政    资金</w:t>
            </w:r>
          </w:p>
        </w:tc>
        <w:tc>
          <w:tcPr>
            <w:tcW w:w="2551" w:type="dxa"/>
            <w:vAlign w:val="center"/>
          </w:tcPr>
          <w:p>
            <w:pPr>
              <w:pStyle w:val="16"/>
            </w:pPr>
            <w:r>
              <w:t>410.00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预算资金410万元，其中财政资金410万元，主要用于广阳区大气污染综合管控服务。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50%</w:t>
            </w:r>
          </w:p>
        </w:tc>
        <w:tc>
          <w:tcPr>
            <w:tcW w:w="2835" w:type="dxa"/>
            <w:vAlign w:val="center"/>
          </w:tcPr>
          <w:p>
            <w:pPr>
              <w:pStyle w:val="17"/>
            </w:pPr>
            <w:r>
              <w:t>50%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     通过项目的开展实现广阳区大气污染综合管控服务，实时调度管控、智能研判分析、污染专项溯源、考核调度及目标分解服务、培训服务、辅助激光雷达服务，保障大气污染防治精准科学目标的达成。</w:t>
            </w:r>
          </w:p>
          <w:p>
            <w:pPr>
              <w:pStyle w:val="16"/>
            </w:pPr>
            <w:r>
              <w:t>通过项目的开展完成实时调度信息数量≥1000条，智能研判分析报告数量≥450份，污染专项溯源≥300天，积尘走航监测服务次数＝12次，VOC走航监测服务次数＝4次,考核调度及目标分解服务≥12次，培训服务≥2次；报告质量≥85%，报告时效≤0.5倍周期（天），项目总投资≤410万元，实现污染及时上报和污染分析指导。反映各项污染物生成原因分析与污染物的削减、空气质量持续改善、辅助提高环境改善效率情况、被服务对象满意度均≥90%。</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实时调度信息</w:t>
            </w:r>
          </w:p>
        </w:tc>
        <w:tc>
          <w:tcPr>
            <w:tcW w:w="5386" w:type="dxa"/>
            <w:vAlign w:val="center"/>
          </w:tcPr>
          <w:p>
            <w:pPr>
              <w:pStyle w:val="16"/>
            </w:pPr>
            <w:r>
              <w:t>实时调度信息</w:t>
            </w:r>
          </w:p>
        </w:tc>
        <w:tc>
          <w:tcPr>
            <w:tcW w:w="2268" w:type="dxa"/>
            <w:vAlign w:val="center"/>
          </w:tcPr>
          <w:p>
            <w:pPr>
              <w:pStyle w:val="16"/>
            </w:pPr>
            <w:r>
              <w:t>≥1000条</w:t>
            </w:r>
          </w:p>
        </w:tc>
        <w:tc>
          <w:tcPr>
            <w:tcW w:w="1276" w:type="dxa"/>
            <w:vAlign w:val="center"/>
          </w:tcPr>
          <w:p>
            <w:pPr>
              <w:pStyle w:val="16"/>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智能研判分析报告</w:t>
            </w:r>
          </w:p>
        </w:tc>
        <w:tc>
          <w:tcPr>
            <w:tcW w:w="5386" w:type="dxa"/>
            <w:vAlign w:val="center"/>
          </w:tcPr>
          <w:p>
            <w:pPr>
              <w:pStyle w:val="16"/>
            </w:pPr>
            <w:r>
              <w:t>智能研判分析报告</w:t>
            </w:r>
          </w:p>
        </w:tc>
        <w:tc>
          <w:tcPr>
            <w:tcW w:w="2268" w:type="dxa"/>
            <w:vAlign w:val="center"/>
          </w:tcPr>
          <w:p>
            <w:pPr>
              <w:pStyle w:val="16"/>
            </w:pPr>
            <w:r>
              <w:t>≥450份</w:t>
            </w:r>
          </w:p>
        </w:tc>
        <w:tc>
          <w:tcPr>
            <w:tcW w:w="1276" w:type="dxa"/>
            <w:vAlign w:val="center"/>
          </w:tcPr>
          <w:p>
            <w:pPr>
              <w:pStyle w:val="16"/>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污染专项溯源</w:t>
            </w:r>
          </w:p>
        </w:tc>
        <w:tc>
          <w:tcPr>
            <w:tcW w:w="5386" w:type="dxa"/>
            <w:vAlign w:val="center"/>
          </w:tcPr>
          <w:p>
            <w:pPr>
              <w:pStyle w:val="16"/>
            </w:pPr>
            <w:r>
              <w:t>反映日常巡查服务天数情况</w:t>
            </w:r>
          </w:p>
        </w:tc>
        <w:tc>
          <w:tcPr>
            <w:tcW w:w="2268" w:type="dxa"/>
            <w:vAlign w:val="center"/>
          </w:tcPr>
          <w:p>
            <w:pPr>
              <w:pStyle w:val="16"/>
            </w:pPr>
            <w:r>
              <w:t>≥300天</w:t>
            </w:r>
          </w:p>
        </w:tc>
        <w:tc>
          <w:tcPr>
            <w:tcW w:w="1276" w:type="dxa"/>
            <w:vAlign w:val="center"/>
          </w:tcPr>
          <w:p>
            <w:pPr>
              <w:pStyle w:val="16"/>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积尘走航监测</w:t>
            </w:r>
          </w:p>
        </w:tc>
        <w:tc>
          <w:tcPr>
            <w:tcW w:w="5386" w:type="dxa"/>
            <w:vAlign w:val="center"/>
          </w:tcPr>
          <w:p>
            <w:pPr>
              <w:pStyle w:val="16"/>
            </w:pPr>
            <w:r>
              <w:t>反应道路积尘报告数量情况</w:t>
            </w:r>
          </w:p>
        </w:tc>
        <w:tc>
          <w:tcPr>
            <w:tcW w:w="2268" w:type="dxa"/>
            <w:vAlign w:val="center"/>
          </w:tcPr>
          <w:p>
            <w:pPr>
              <w:pStyle w:val="16"/>
            </w:pPr>
            <w:r>
              <w:t>12次</w:t>
            </w:r>
          </w:p>
        </w:tc>
        <w:tc>
          <w:tcPr>
            <w:tcW w:w="1276" w:type="dxa"/>
            <w:vAlign w:val="center"/>
          </w:tcPr>
          <w:p>
            <w:pPr>
              <w:pStyle w:val="16"/>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VOC走航监测服务</w:t>
            </w:r>
          </w:p>
        </w:tc>
        <w:tc>
          <w:tcPr>
            <w:tcW w:w="5386" w:type="dxa"/>
            <w:vAlign w:val="center"/>
          </w:tcPr>
          <w:p>
            <w:pPr>
              <w:pStyle w:val="16"/>
            </w:pPr>
            <w:r>
              <w:t>反应VOC走航报告数量情况</w:t>
            </w:r>
          </w:p>
        </w:tc>
        <w:tc>
          <w:tcPr>
            <w:tcW w:w="2268" w:type="dxa"/>
            <w:vAlign w:val="center"/>
          </w:tcPr>
          <w:p>
            <w:pPr>
              <w:pStyle w:val="16"/>
            </w:pPr>
            <w:r>
              <w:t>4次</w:t>
            </w:r>
          </w:p>
        </w:tc>
        <w:tc>
          <w:tcPr>
            <w:tcW w:w="1276" w:type="dxa"/>
            <w:vAlign w:val="center"/>
          </w:tcPr>
          <w:p>
            <w:pPr>
              <w:pStyle w:val="16"/>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考核调度及目标分解服务</w:t>
            </w:r>
          </w:p>
        </w:tc>
        <w:tc>
          <w:tcPr>
            <w:tcW w:w="5386" w:type="dxa"/>
            <w:vAlign w:val="center"/>
          </w:tcPr>
          <w:p>
            <w:pPr>
              <w:pStyle w:val="16"/>
            </w:pPr>
            <w:r>
              <w:t>考核调度及目标分解服务数量</w:t>
            </w:r>
          </w:p>
        </w:tc>
        <w:tc>
          <w:tcPr>
            <w:tcW w:w="2268" w:type="dxa"/>
            <w:vAlign w:val="center"/>
          </w:tcPr>
          <w:p>
            <w:pPr>
              <w:pStyle w:val="16"/>
            </w:pPr>
            <w:r>
              <w:t>≥12次</w:t>
            </w:r>
          </w:p>
        </w:tc>
        <w:tc>
          <w:tcPr>
            <w:tcW w:w="1276" w:type="dxa"/>
            <w:vAlign w:val="center"/>
          </w:tcPr>
          <w:p>
            <w:pPr>
              <w:pStyle w:val="16"/>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数量指标</w:t>
            </w:r>
          </w:p>
        </w:tc>
        <w:tc>
          <w:tcPr>
            <w:tcW w:w="2835" w:type="dxa"/>
            <w:vAlign w:val="center"/>
          </w:tcPr>
          <w:p>
            <w:pPr>
              <w:pStyle w:val="16"/>
            </w:pPr>
            <w:r>
              <w:t>培训服务</w:t>
            </w:r>
          </w:p>
        </w:tc>
        <w:tc>
          <w:tcPr>
            <w:tcW w:w="5386" w:type="dxa"/>
            <w:vAlign w:val="center"/>
          </w:tcPr>
          <w:p>
            <w:pPr>
              <w:pStyle w:val="16"/>
            </w:pPr>
            <w:r>
              <w:t>培训服务</w:t>
            </w:r>
          </w:p>
        </w:tc>
        <w:tc>
          <w:tcPr>
            <w:tcW w:w="2268" w:type="dxa"/>
            <w:vAlign w:val="center"/>
          </w:tcPr>
          <w:p>
            <w:pPr>
              <w:pStyle w:val="16"/>
            </w:pPr>
            <w:r>
              <w:t>2次</w:t>
            </w:r>
          </w:p>
        </w:tc>
        <w:tc>
          <w:tcPr>
            <w:tcW w:w="1276" w:type="dxa"/>
            <w:vAlign w:val="center"/>
          </w:tcPr>
          <w:p>
            <w:pPr>
              <w:pStyle w:val="16"/>
            </w:pPr>
            <w:r>
              <w:t>依据区空气质量情况及往年数量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报告质量</w:t>
            </w:r>
          </w:p>
        </w:tc>
        <w:tc>
          <w:tcPr>
            <w:tcW w:w="5386" w:type="dxa"/>
            <w:vAlign w:val="center"/>
          </w:tcPr>
          <w:p>
            <w:pPr>
              <w:pStyle w:val="16"/>
            </w:pPr>
            <w:r>
              <w:t>反映报告质量情况</w:t>
            </w:r>
          </w:p>
        </w:tc>
        <w:tc>
          <w:tcPr>
            <w:tcW w:w="2268" w:type="dxa"/>
            <w:vAlign w:val="center"/>
          </w:tcPr>
          <w:p>
            <w:pPr>
              <w:pStyle w:val="16"/>
            </w:pPr>
            <w:r>
              <w:t>≥85%</w:t>
            </w:r>
          </w:p>
        </w:tc>
        <w:tc>
          <w:tcPr>
            <w:tcW w:w="1276" w:type="dxa"/>
            <w:vAlign w:val="center"/>
          </w:tcPr>
          <w:p>
            <w:pPr>
              <w:pStyle w:val="16"/>
            </w:pPr>
            <w:r>
              <w:t>依据往年报告质量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报告时效</w:t>
            </w:r>
          </w:p>
        </w:tc>
        <w:tc>
          <w:tcPr>
            <w:tcW w:w="5386" w:type="dxa"/>
            <w:vAlign w:val="center"/>
          </w:tcPr>
          <w:p>
            <w:pPr>
              <w:pStyle w:val="16"/>
            </w:pPr>
            <w:r>
              <w:t>反映报告时效情况</w:t>
            </w:r>
          </w:p>
        </w:tc>
        <w:tc>
          <w:tcPr>
            <w:tcW w:w="2268" w:type="dxa"/>
            <w:vAlign w:val="center"/>
          </w:tcPr>
          <w:p>
            <w:pPr>
              <w:pStyle w:val="16"/>
            </w:pPr>
            <w:r>
              <w:t>≤0.50.5倍周期/天</w:t>
            </w:r>
          </w:p>
        </w:tc>
        <w:tc>
          <w:tcPr>
            <w:tcW w:w="1276" w:type="dxa"/>
            <w:vAlign w:val="center"/>
          </w:tcPr>
          <w:p>
            <w:pPr>
              <w:pStyle w:val="16"/>
            </w:pPr>
            <w:r>
              <w:t>依据往年报告时效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项目总投资410万元</w:t>
            </w:r>
          </w:p>
        </w:tc>
        <w:tc>
          <w:tcPr>
            <w:tcW w:w="5386" w:type="dxa"/>
            <w:vAlign w:val="center"/>
          </w:tcPr>
          <w:p>
            <w:pPr>
              <w:pStyle w:val="16"/>
            </w:pPr>
            <w:r>
              <w:t>反映项目总投资情况</w:t>
            </w:r>
          </w:p>
        </w:tc>
        <w:tc>
          <w:tcPr>
            <w:tcW w:w="2268" w:type="dxa"/>
            <w:vAlign w:val="center"/>
          </w:tcPr>
          <w:p>
            <w:pPr>
              <w:pStyle w:val="16"/>
            </w:pPr>
            <w:r>
              <w:t>≤410万元</w:t>
            </w:r>
          </w:p>
        </w:tc>
        <w:tc>
          <w:tcPr>
            <w:tcW w:w="1276" w:type="dxa"/>
            <w:vAlign w:val="center"/>
          </w:tcPr>
          <w:p>
            <w:pPr>
              <w:pStyle w:val="16"/>
            </w:pPr>
            <w:r>
              <w:t>市场询价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对各项污染物生成原因分析与污染物的治理</w:t>
            </w:r>
          </w:p>
        </w:tc>
        <w:tc>
          <w:tcPr>
            <w:tcW w:w="5386" w:type="dxa"/>
            <w:vAlign w:val="center"/>
          </w:tcPr>
          <w:p>
            <w:pPr>
              <w:pStyle w:val="16"/>
            </w:pPr>
            <w:r>
              <w:t>反映对各项污染物生成原因分析与污染物的治理情况</w:t>
            </w:r>
          </w:p>
        </w:tc>
        <w:tc>
          <w:tcPr>
            <w:tcW w:w="2268" w:type="dxa"/>
            <w:vAlign w:val="center"/>
          </w:tcPr>
          <w:p>
            <w:pPr>
              <w:pStyle w:val="16"/>
            </w:pPr>
            <w:r>
              <w:t>≥90%</w:t>
            </w:r>
          </w:p>
        </w:tc>
        <w:tc>
          <w:tcPr>
            <w:tcW w:w="1276" w:type="dxa"/>
            <w:vAlign w:val="center"/>
          </w:tcPr>
          <w:p>
            <w:pPr>
              <w:pStyle w:val="16"/>
            </w:pPr>
            <w:r>
              <w:t>项目预期效果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生态效益指标</w:t>
            </w:r>
          </w:p>
        </w:tc>
        <w:tc>
          <w:tcPr>
            <w:tcW w:w="2835" w:type="dxa"/>
            <w:vAlign w:val="center"/>
          </w:tcPr>
          <w:p>
            <w:pPr>
              <w:pStyle w:val="16"/>
            </w:pPr>
            <w:r>
              <w:t>空气质量改善</w:t>
            </w:r>
          </w:p>
        </w:tc>
        <w:tc>
          <w:tcPr>
            <w:tcW w:w="5386" w:type="dxa"/>
            <w:vAlign w:val="center"/>
          </w:tcPr>
          <w:p>
            <w:pPr>
              <w:pStyle w:val="16"/>
            </w:pPr>
            <w:r>
              <w:t>颗粒物、臭氧等污染物削减，空气质量持续改善</w:t>
            </w:r>
          </w:p>
        </w:tc>
        <w:tc>
          <w:tcPr>
            <w:tcW w:w="2268" w:type="dxa"/>
            <w:vAlign w:val="center"/>
          </w:tcPr>
          <w:p>
            <w:pPr>
              <w:pStyle w:val="16"/>
            </w:pPr>
            <w:r>
              <w:t>≥90%</w:t>
            </w:r>
          </w:p>
        </w:tc>
        <w:tc>
          <w:tcPr>
            <w:tcW w:w="1276" w:type="dxa"/>
            <w:vAlign w:val="center"/>
          </w:tcPr>
          <w:p>
            <w:pPr>
              <w:pStyle w:val="16"/>
            </w:pPr>
            <w:r>
              <w:t>项目预期效果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可持续影响指标</w:t>
            </w:r>
          </w:p>
        </w:tc>
        <w:tc>
          <w:tcPr>
            <w:tcW w:w="2835" w:type="dxa"/>
            <w:vAlign w:val="center"/>
          </w:tcPr>
          <w:p>
            <w:pPr>
              <w:pStyle w:val="16"/>
            </w:pPr>
            <w:r>
              <w:t>辅助提高环境改善效率</w:t>
            </w:r>
          </w:p>
        </w:tc>
        <w:tc>
          <w:tcPr>
            <w:tcW w:w="5386" w:type="dxa"/>
            <w:vAlign w:val="center"/>
          </w:tcPr>
          <w:p>
            <w:pPr>
              <w:pStyle w:val="16"/>
            </w:pPr>
            <w:r>
              <w:t>反映辅助提高环境改善效率情况</w:t>
            </w:r>
          </w:p>
        </w:tc>
        <w:tc>
          <w:tcPr>
            <w:tcW w:w="2268" w:type="dxa"/>
            <w:vAlign w:val="center"/>
          </w:tcPr>
          <w:p>
            <w:pPr>
              <w:pStyle w:val="16"/>
            </w:pPr>
            <w:r>
              <w:t>≥90%</w:t>
            </w:r>
          </w:p>
        </w:tc>
        <w:tc>
          <w:tcPr>
            <w:tcW w:w="1276" w:type="dxa"/>
            <w:vAlign w:val="center"/>
          </w:tcPr>
          <w:p>
            <w:pPr>
              <w:pStyle w:val="16"/>
            </w:pPr>
            <w:r>
              <w:t>项目预期效果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被服务对象满意度</w:t>
            </w:r>
          </w:p>
        </w:tc>
        <w:tc>
          <w:tcPr>
            <w:tcW w:w="5386" w:type="dxa"/>
            <w:vAlign w:val="center"/>
          </w:tcPr>
          <w:p>
            <w:pPr>
              <w:pStyle w:val="16"/>
            </w:pPr>
            <w:r>
              <w:t>反映被服务对象满意度</w:t>
            </w:r>
          </w:p>
        </w:tc>
        <w:tc>
          <w:tcPr>
            <w:tcW w:w="2268" w:type="dxa"/>
            <w:vAlign w:val="center"/>
          </w:tcPr>
          <w:p>
            <w:pPr>
              <w:pStyle w:val="16"/>
            </w:pPr>
            <w:r>
              <w:t>≥90%</w:t>
            </w:r>
          </w:p>
        </w:tc>
        <w:tc>
          <w:tcPr>
            <w:tcW w:w="1276" w:type="dxa"/>
            <w:vAlign w:val="center"/>
          </w:tcPr>
          <w:p>
            <w:pPr>
              <w:pStyle w:val="16"/>
            </w:pPr>
            <w:r>
              <w:t>项目预期效果</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5、一招人员经费绩效目标表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13100325P00002410007N</w:t>
            </w:r>
          </w:p>
        </w:tc>
        <w:tc>
          <w:tcPr>
            <w:tcW w:w="2835" w:type="dxa"/>
            <w:vAlign w:val="center"/>
          </w:tcPr>
          <w:p>
            <w:pPr>
              <w:pStyle w:val="14"/>
            </w:pPr>
            <w:r>
              <w:t>项目名称</w:t>
            </w:r>
          </w:p>
        </w:tc>
        <w:tc>
          <w:tcPr>
            <w:tcW w:w="6095" w:type="dxa"/>
            <w:gridSpan w:val="3"/>
            <w:vAlign w:val="center"/>
          </w:tcPr>
          <w:p>
            <w:pPr>
              <w:pStyle w:val="16"/>
            </w:pPr>
            <w:r>
              <w:t>一招人员经费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70.00</w:t>
            </w:r>
          </w:p>
        </w:tc>
        <w:tc>
          <w:tcPr>
            <w:tcW w:w="2835" w:type="dxa"/>
            <w:vAlign w:val="center"/>
          </w:tcPr>
          <w:p>
            <w:pPr>
              <w:pStyle w:val="14"/>
            </w:pPr>
            <w:r>
              <w:t>其中：财政    资金</w:t>
            </w:r>
          </w:p>
        </w:tc>
        <w:tc>
          <w:tcPr>
            <w:tcW w:w="2551" w:type="dxa"/>
            <w:vAlign w:val="center"/>
          </w:tcPr>
          <w:p>
            <w:pPr>
              <w:pStyle w:val="16"/>
            </w:pPr>
            <w:r>
              <w:t>70.00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拨付给第一招待所用于发放工资保险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1.通过项目的开展保证区政府办一招人员待遇落实到位，满足经费需求，保障职工队伍稳定。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发放人员数量</w:t>
            </w:r>
          </w:p>
        </w:tc>
        <w:tc>
          <w:tcPr>
            <w:tcW w:w="5386" w:type="dxa"/>
            <w:vAlign w:val="center"/>
          </w:tcPr>
          <w:p>
            <w:pPr>
              <w:pStyle w:val="16"/>
            </w:pPr>
            <w:r>
              <w:t>发放人员数量</w:t>
            </w:r>
          </w:p>
        </w:tc>
        <w:tc>
          <w:tcPr>
            <w:tcW w:w="2268" w:type="dxa"/>
            <w:vAlign w:val="center"/>
          </w:tcPr>
          <w:p>
            <w:pPr>
              <w:pStyle w:val="16"/>
            </w:pPr>
            <w:r>
              <w:t>69人次</w:t>
            </w:r>
          </w:p>
        </w:tc>
        <w:tc>
          <w:tcPr>
            <w:tcW w:w="1276" w:type="dxa"/>
            <w:vAlign w:val="center"/>
          </w:tcPr>
          <w:p>
            <w:pPr>
              <w:pStyle w:val="16"/>
            </w:pPr>
            <w:r>
              <w:t>实有人数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发放标准准确率</w:t>
            </w:r>
          </w:p>
        </w:tc>
        <w:tc>
          <w:tcPr>
            <w:tcW w:w="5386" w:type="dxa"/>
            <w:vAlign w:val="center"/>
          </w:tcPr>
          <w:p>
            <w:pPr>
              <w:pStyle w:val="16"/>
            </w:pPr>
            <w:r>
              <w:t>发放标准占计划标准的比例</w:t>
            </w:r>
          </w:p>
        </w:tc>
        <w:tc>
          <w:tcPr>
            <w:tcW w:w="2268" w:type="dxa"/>
            <w:vAlign w:val="center"/>
          </w:tcPr>
          <w:p>
            <w:pPr>
              <w:pStyle w:val="16"/>
            </w:pPr>
            <w:r>
              <w:t>≥95%</w:t>
            </w:r>
          </w:p>
        </w:tc>
        <w:tc>
          <w:tcPr>
            <w:tcW w:w="1276" w:type="dxa"/>
            <w:vAlign w:val="center"/>
          </w:tcPr>
          <w:p>
            <w:pPr>
              <w:pStyle w:val="16"/>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发放完成时间</w:t>
            </w:r>
          </w:p>
        </w:tc>
        <w:tc>
          <w:tcPr>
            <w:tcW w:w="5386" w:type="dxa"/>
            <w:vAlign w:val="center"/>
          </w:tcPr>
          <w:p>
            <w:pPr>
              <w:pStyle w:val="16"/>
            </w:pPr>
            <w:r>
              <w:t>发放完成时间</w:t>
            </w:r>
          </w:p>
        </w:tc>
        <w:tc>
          <w:tcPr>
            <w:tcW w:w="2268" w:type="dxa"/>
            <w:vAlign w:val="center"/>
          </w:tcPr>
          <w:p>
            <w:pPr>
              <w:pStyle w:val="16"/>
            </w:pPr>
            <w:r>
              <w:t>按月支付</w:t>
            </w:r>
          </w:p>
        </w:tc>
        <w:tc>
          <w:tcPr>
            <w:tcW w:w="1276" w:type="dxa"/>
            <w:vAlign w:val="center"/>
          </w:tcPr>
          <w:p>
            <w:pPr>
              <w:pStyle w:val="16"/>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项目成本控制</w:t>
            </w:r>
          </w:p>
        </w:tc>
        <w:tc>
          <w:tcPr>
            <w:tcW w:w="5386" w:type="dxa"/>
            <w:vAlign w:val="center"/>
          </w:tcPr>
          <w:p>
            <w:pPr>
              <w:pStyle w:val="16"/>
            </w:pPr>
            <w:r>
              <w:t>按照具体规定不超标</w:t>
            </w:r>
          </w:p>
        </w:tc>
        <w:tc>
          <w:tcPr>
            <w:tcW w:w="2268" w:type="dxa"/>
            <w:vAlign w:val="center"/>
          </w:tcPr>
          <w:p>
            <w:pPr>
              <w:pStyle w:val="16"/>
            </w:pPr>
            <w:r>
              <w:t>≤70万元</w:t>
            </w:r>
          </w:p>
        </w:tc>
        <w:tc>
          <w:tcPr>
            <w:tcW w:w="1276" w:type="dxa"/>
            <w:vAlign w:val="center"/>
          </w:tcPr>
          <w:p>
            <w:pPr>
              <w:pStyle w:val="16"/>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保障人员生活需求</w:t>
            </w:r>
          </w:p>
        </w:tc>
        <w:tc>
          <w:tcPr>
            <w:tcW w:w="5386" w:type="dxa"/>
            <w:vAlign w:val="center"/>
          </w:tcPr>
          <w:p>
            <w:pPr>
              <w:pStyle w:val="16"/>
            </w:pPr>
            <w:r>
              <w:t>保障人员生活需求</w:t>
            </w:r>
          </w:p>
        </w:tc>
        <w:tc>
          <w:tcPr>
            <w:tcW w:w="2268" w:type="dxa"/>
            <w:vAlign w:val="center"/>
          </w:tcPr>
          <w:p>
            <w:pPr>
              <w:pStyle w:val="16"/>
            </w:pPr>
            <w:r>
              <w:t>有效保障</w:t>
            </w:r>
          </w:p>
        </w:tc>
        <w:tc>
          <w:tcPr>
            <w:tcW w:w="1276" w:type="dxa"/>
            <w:vAlign w:val="center"/>
          </w:tcPr>
          <w:p>
            <w:pPr>
              <w:pStyle w:val="16"/>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保持职工队伍稳定</w:t>
            </w:r>
          </w:p>
        </w:tc>
        <w:tc>
          <w:tcPr>
            <w:tcW w:w="5386" w:type="dxa"/>
            <w:vAlign w:val="center"/>
          </w:tcPr>
          <w:p>
            <w:pPr>
              <w:pStyle w:val="16"/>
            </w:pPr>
            <w:r>
              <w:t>保持职工队伍稳定</w:t>
            </w:r>
          </w:p>
        </w:tc>
        <w:tc>
          <w:tcPr>
            <w:tcW w:w="2268" w:type="dxa"/>
            <w:vAlign w:val="center"/>
          </w:tcPr>
          <w:p>
            <w:pPr>
              <w:pStyle w:val="16"/>
            </w:pPr>
            <w:r>
              <w:t>有效保持</w:t>
            </w:r>
          </w:p>
        </w:tc>
        <w:tc>
          <w:tcPr>
            <w:tcW w:w="1276" w:type="dxa"/>
            <w:vAlign w:val="center"/>
          </w:tcPr>
          <w:p>
            <w:pPr>
              <w:pStyle w:val="16"/>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一招人员满意人数占全部人数的比例</w:t>
            </w:r>
          </w:p>
        </w:tc>
        <w:tc>
          <w:tcPr>
            <w:tcW w:w="2268" w:type="dxa"/>
            <w:vAlign w:val="center"/>
          </w:tcPr>
          <w:p>
            <w:pPr>
              <w:pStyle w:val="16"/>
            </w:pPr>
            <w:r>
              <w:t>≥90%</w:t>
            </w:r>
          </w:p>
        </w:tc>
        <w:tc>
          <w:tcPr>
            <w:tcW w:w="1276" w:type="dxa"/>
            <w:vAlign w:val="center"/>
          </w:tcPr>
          <w:p>
            <w:pPr>
              <w:pStyle w:val="16"/>
            </w:pPr>
            <w:r>
              <w:t>调查问卷</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ind w:firstLine="560"/>
      </w:pPr>
      <w:r>
        <w:rPr>
          <w:rFonts w:ascii="方正仿宋_GBK" w:hAnsi="方正仿宋_GBK" w:eastAsia="方正仿宋_GBK" w:cs="方正仿宋_GBK"/>
          <w:color w:val="000000"/>
          <w:sz w:val="28"/>
        </w:rPr>
        <w:t>6、政务系统上云工作服务经费绩效目标表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13100325P000090100034</w:t>
            </w:r>
          </w:p>
        </w:tc>
        <w:tc>
          <w:tcPr>
            <w:tcW w:w="2835" w:type="dxa"/>
            <w:vAlign w:val="center"/>
          </w:tcPr>
          <w:p>
            <w:pPr>
              <w:pStyle w:val="14"/>
            </w:pPr>
            <w:r>
              <w:t>项目名称</w:t>
            </w:r>
          </w:p>
        </w:tc>
        <w:tc>
          <w:tcPr>
            <w:tcW w:w="6095" w:type="dxa"/>
            <w:gridSpan w:val="3"/>
            <w:vAlign w:val="center"/>
          </w:tcPr>
          <w:p>
            <w:pPr>
              <w:pStyle w:val="16"/>
            </w:pPr>
            <w:r>
              <w:t>政务系统上云工作服务经费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14.32</w:t>
            </w:r>
          </w:p>
        </w:tc>
        <w:tc>
          <w:tcPr>
            <w:tcW w:w="2835" w:type="dxa"/>
            <w:vAlign w:val="center"/>
          </w:tcPr>
          <w:p>
            <w:pPr>
              <w:pStyle w:val="14"/>
            </w:pPr>
            <w:r>
              <w:t>其中：财政    资金</w:t>
            </w:r>
          </w:p>
        </w:tc>
        <w:tc>
          <w:tcPr>
            <w:tcW w:w="2551" w:type="dxa"/>
            <w:vAlign w:val="center"/>
          </w:tcPr>
          <w:p>
            <w:pPr>
              <w:pStyle w:val="16"/>
            </w:pPr>
            <w:r>
              <w:t>14.32</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主要用于将广阳区政府办建设运维的政务系统迁移部署到政务云，以达到数字河北、数字廊坊的相关要求，使区考核达标。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 xml:space="preserve"> </w:t>
            </w:r>
          </w:p>
        </w:tc>
        <w:tc>
          <w:tcPr>
            <w:tcW w:w="2835" w:type="dxa"/>
            <w:vAlign w:val="center"/>
          </w:tcPr>
          <w:p>
            <w:pPr>
              <w:pStyle w:val="17"/>
            </w:pPr>
            <w:r>
              <w:t>100%</w:t>
            </w:r>
          </w:p>
        </w:tc>
        <w:tc>
          <w:tcPr>
            <w:tcW w:w="2551" w:type="dxa"/>
            <w:vAlign w:val="center"/>
          </w:tcPr>
          <w:p>
            <w:pPr>
              <w:pStyle w:val="17"/>
            </w:pPr>
            <w:r>
              <w:t>100%</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1.通过项目的开展，确保我区数字河北、数字廊坊考核中“数字政府”建设达标，确保系统上云平稳有序，进一步提高云资源使用效率。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上云系统数量</w:t>
            </w:r>
          </w:p>
        </w:tc>
        <w:tc>
          <w:tcPr>
            <w:tcW w:w="5386" w:type="dxa"/>
            <w:vAlign w:val="center"/>
          </w:tcPr>
          <w:p>
            <w:pPr>
              <w:pStyle w:val="16"/>
            </w:pPr>
            <w:r>
              <w:t>上云系统数量</w:t>
            </w:r>
          </w:p>
        </w:tc>
        <w:tc>
          <w:tcPr>
            <w:tcW w:w="2268" w:type="dxa"/>
            <w:vAlign w:val="center"/>
          </w:tcPr>
          <w:p>
            <w:pPr>
              <w:pStyle w:val="16"/>
            </w:pPr>
            <w:r>
              <w:t>2个</w:t>
            </w:r>
          </w:p>
        </w:tc>
        <w:tc>
          <w:tcPr>
            <w:tcW w:w="1276" w:type="dxa"/>
            <w:vAlign w:val="center"/>
          </w:tcPr>
          <w:p>
            <w:pPr>
              <w:pStyle w:val="16"/>
            </w:pPr>
            <w:r>
              <w:t>计划标准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政务云平台服务质量达标率</w:t>
            </w:r>
          </w:p>
        </w:tc>
        <w:tc>
          <w:tcPr>
            <w:tcW w:w="5386" w:type="dxa"/>
            <w:vAlign w:val="center"/>
          </w:tcPr>
          <w:p>
            <w:pPr>
              <w:pStyle w:val="16"/>
            </w:pPr>
            <w:r>
              <w:t>政务云平台服务质量达标率</w:t>
            </w:r>
          </w:p>
        </w:tc>
        <w:tc>
          <w:tcPr>
            <w:tcW w:w="2268" w:type="dxa"/>
            <w:vAlign w:val="center"/>
          </w:tcPr>
          <w:p>
            <w:pPr>
              <w:pStyle w:val="16"/>
            </w:pPr>
            <w:r>
              <w:t>100%</w:t>
            </w:r>
          </w:p>
        </w:tc>
        <w:tc>
          <w:tcPr>
            <w:tcW w:w="1276" w:type="dxa"/>
            <w:vAlign w:val="center"/>
          </w:tcPr>
          <w:p>
            <w:pPr>
              <w:pStyle w:val="16"/>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项目进度计划完成率</w:t>
            </w:r>
          </w:p>
        </w:tc>
        <w:tc>
          <w:tcPr>
            <w:tcW w:w="5386" w:type="dxa"/>
            <w:vAlign w:val="center"/>
          </w:tcPr>
          <w:p>
            <w:pPr>
              <w:pStyle w:val="16"/>
            </w:pPr>
            <w:r>
              <w:t>项目进度计划完成率</w:t>
            </w:r>
          </w:p>
        </w:tc>
        <w:tc>
          <w:tcPr>
            <w:tcW w:w="2268" w:type="dxa"/>
            <w:vAlign w:val="center"/>
          </w:tcPr>
          <w:p>
            <w:pPr>
              <w:pStyle w:val="16"/>
            </w:pPr>
            <w:r>
              <w:t>100%</w:t>
            </w:r>
          </w:p>
        </w:tc>
        <w:tc>
          <w:tcPr>
            <w:tcW w:w="1276" w:type="dxa"/>
            <w:vAlign w:val="center"/>
          </w:tcPr>
          <w:p>
            <w:pPr>
              <w:pStyle w:val="16"/>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不超预算成本</w:t>
            </w:r>
          </w:p>
        </w:tc>
        <w:tc>
          <w:tcPr>
            <w:tcW w:w="5386" w:type="dxa"/>
            <w:vAlign w:val="center"/>
          </w:tcPr>
          <w:p>
            <w:pPr>
              <w:pStyle w:val="16"/>
            </w:pPr>
            <w:r>
              <w:t>不超预算成本</w:t>
            </w:r>
          </w:p>
        </w:tc>
        <w:tc>
          <w:tcPr>
            <w:tcW w:w="2268" w:type="dxa"/>
            <w:vAlign w:val="center"/>
          </w:tcPr>
          <w:p>
            <w:pPr>
              <w:pStyle w:val="16"/>
            </w:pPr>
            <w:r>
              <w:t>≤14.32万元</w:t>
            </w:r>
          </w:p>
        </w:tc>
        <w:tc>
          <w:tcPr>
            <w:tcW w:w="1276" w:type="dxa"/>
            <w:vAlign w:val="center"/>
          </w:tcPr>
          <w:p>
            <w:pPr>
              <w:pStyle w:val="16"/>
            </w:pPr>
            <w:r>
              <w:t>支付凭证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提高云资源使用效率</w:t>
            </w:r>
          </w:p>
        </w:tc>
        <w:tc>
          <w:tcPr>
            <w:tcW w:w="5386" w:type="dxa"/>
            <w:vAlign w:val="center"/>
          </w:tcPr>
          <w:p>
            <w:pPr>
              <w:pStyle w:val="16"/>
            </w:pPr>
            <w:r>
              <w:t>提高云资源使用效率</w:t>
            </w:r>
          </w:p>
        </w:tc>
        <w:tc>
          <w:tcPr>
            <w:tcW w:w="2268" w:type="dxa"/>
            <w:vAlign w:val="center"/>
          </w:tcPr>
          <w:p>
            <w:pPr>
              <w:pStyle w:val="16"/>
            </w:pPr>
            <w:r>
              <w:t>有效提高</w:t>
            </w:r>
          </w:p>
        </w:tc>
        <w:tc>
          <w:tcPr>
            <w:tcW w:w="1276" w:type="dxa"/>
            <w:vAlign w:val="center"/>
          </w:tcPr>
          <w:p>
            <w:pPr>
              <w:pStyle w:val="16"/>
            </w:pPr>
            <w:r>
              <w:t>调查问询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满意人数占总人数的比例</w:t>
            </w:r>
          </w:p>
        </w:tc>
        <w:tc>
          <w:tcPr>
            <w:tcW w:w="2268" w:type="dxa"/>
            <w:vAlign w:val="center"/>
          </w:tcPr>
          <w:p>
            <w:pPr>
              <w:pStyle w:val="16"/>
            </w:pPr>
            <w:r>
              <w:t>≥95%</w:t>
            </w:r>
          </w:p>
        </w:tc>
        <w:tc>
          <w:tcPr>
            <w:tcW w:w="1276" w:type="dxa"/>
            <w:vAlign w:val="center"/>
          </w:tcPr>
          <w:p>
            <w:pPr>
              <w:pStyle w:val="16"/>
            </w:pPr>
            <w:r>
              <w:t>调查问询</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75.00</w:t>
            </w:r>
          </w:p>
        </w:tc>
        <w:tc>
          <w:tcPr>
            <w:tcW w:w="964" w:type="dxa"/>
            <w:vAlign w:val="center"/>
          </w:tcPr>
          <w:p>
            <w:pPr>
              <w:pStyle w:val="19"/>
            </w:pPr>
            <w:r>
              <w:t>75.00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8"/>
            </w:pPr>
            <w:r>
              <w:t>廊坊市广阳区人民政府办公室本级小计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75.00</w:t>
            </w:r>
          </w:p>
        </w:tc>
        <w:tc>
          <w:tcPr>
            <w:tcW w:w="964" w:type="dxa"/>
            <w:vAlign w:val="center"/>
          </w:tcPr>
          <w:p>
            <w:pPr>
              <w:pStyle w:val="19"/>
            </w:pPr>
            <w:r>
              <w:t>75.00</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6"/>
            </w:pPr>
            <w:r>
              <w:t>政务服务管理经费</w:t>
            </w:r>
          </w:p>
        </w:tc>
        <w:tc>
          <w:tcPr>
            <w:tcW w:w="964" w:type="dxa"/>
            <w:vAlign w:val="center"/>
          </w:tcPr>
          <w:p>
            <w:pPr>
              <w:pStyle w:val="15"/>
            </w:pPr>
            <w:r>
              <w:t>150.00</w:t>
            </w:r>
          </w:p>
        </w:tc>
        <w:tc>
          <w:tcPr>
            <w:tcW w:w="1134" w:type="dxa"/>
            <w:vAlign w:val="center"/>
          </w:tcPr>
          <w:p>
            <w:pPr>
              <w:pStyle w:val="16"/>
            </w:pPr>
            <w:r>
              <w:t>其他服务</w:t>
            </w:r>
          </w:p>
        </w:tc>
        <w:tc>
          <w:tcPr>
            <w:tcW w:w="1134" w:type="dxa"/>
            <w:vAlign w:val="center"/>
          </w:tcPr>
          <w:p>
            <w:pPr>
              <w:pStyle w:val="16"/>
            </w:pPr>
            <w:r>
              <w:t>C99000000</w:t>
            </w:r>
          </w:p>
        </w:tc>
        <w:tc>
          <w:tcPr>
            <w:tcW w:w="709" w:type="dxa"/>
            <w:vAlign w:val="center"/>
          </w:tcPr>
          <w:p>
            <w:pPr>
              <w:pStyle w:val="17"/>
            </w:pPr>
            <w:r>
              <w:t>批</w:t>
            </w:r>
          </w:p>
        </w:tc>
        <w:tc>
          <w:tcPr>
            <w:tcW w:w="850" w:type="dxa"/>
            <w:vAlign w:val="center"/>
          </w:tcPr>
          <w:p>
            <w:pPr>
              <w:pStyle w:val="15"/>
            </w:pPr>
            <w:r>
              <w:t>1</w:t>
            </w:r>
          </w:p>
        </w:tc>
        <w:tc>
          <w:tcPr>
            <w:tcW w:w="850" w:type="dxa"/>
            <w:vAlign w:val="center"/>
          </w:tcPr>
          <w:p>
            <w:pPr>
              <w:pStyle w:val="15"/>
            </w:pPr>
            <w:r>
              <w:t>75.00</w:t>
            </w:r>
          </w:p>
        </w:tc>
        <w:tc>
          <w:tcPr>
            <w:tcW w:w="964" w:type="dxa"/>
            <w:vAlign w:val="center"/>
          </w:tcPr>
          <w:p>
            <w:pPr>
              <w:pStyle w:val="15"/>
            </w:pPr>
            <w:r>
              <w:t>75.00</w:t>
            </w:r>
          </w:p>
        </w:tc>
        <w:tc>
          <w:tcPr>
            <w:tcW w:w="964" w:type="dxa"/>
            <w:vAlign w:val="center"/>
          </w:tcPr>
          <w:p>
            <w:pPr>
              <w:pStyle w:val="15"/>
            </w:pPr>
            <w:r>
              <w:t>75.00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s="Times New Roman"/>
          <w:color w:val="000000"/>
          <w:sz w:val="28"/>
        </w:rPr>
        <w:t>廊坊市广阳区人民政府办公室（含所属单位）上年末固定资产金额为947.28万元（详见下表）。本年度拟购置固定资产总额为0.00万元，已按要求列入政府采购预算，详见政府采购预算表。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151廊坊市广阳区人民政府办公室</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947.28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7</w:t>
            </w:r>
          </w:p>
        </w:tc>
        <w:tc>
          <w:tcPr>
            <w:tcW w:w="2835" w:type="dxa"/>
            <w:vAlign w:val="center"/>
          </w:tcPr>
          <w:p>
            <w:pPr>
              <w:pStyle w:val="15"/>
            </w:pPr>
            <w:r>
              <w:t>177.47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1099</w:t>
            </w:r>
          </w:p>
        </w:tc>
        <w:tc>
          <w:tcPr>
            <w:tcW w:w="2835" w:type="dxa"/>
            <w:vAlign w:val="center"/>
          </w:tcPr>
          <w:p>
            <w:pPr>
              <w:pStyle w:val="15"/>
            </w:pPr>
            <w:r>
              <w:t>769.81</w:t>
            </w:r>
          </w:p>
        </w:tc>
      </w:tr>
    </w:tbl>
    <w:p>
      <w:pPr>
        <w:ind w:firstLine="640"/>
      </w:pPr>
      <w:r>
        <w:rPr>
          <w:rFonts w:eastAsia="方正仿宋_GBK" w:cs="Times New Roman"/>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9F9"/>
    <w:rsid w:val="000649F9"/>
    <w:rsid w:val="001F7616"/>
    <w:rsid w:val="004C4A17"/>
    <w:rsid w:val="00556D6A"/>
    <w:rsid w:val="006850B9"/>
    <w:rsid w:val="007B4791"/>
    <w:rsid w:val="008A544F"/>
    <w:rsid w:val="00B053DB"/>
    <w:rsid w:val="00C46AC8"/>
    <w:rsid w:val="0ADD31A4"/>
    <w:rsid w:val="19290E1B"/>
    <w:rsid w:val="21200A04"/>
    <w:rsid w:val="2DEB467C"/>
    <w:rsid w:val="32D457F8"/>
    <w:rsid w:val="33332016"/>
    <w:rsid w:val="3CA756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qFormat/>
    <w:uiPriority w:val="99"/>
    <w:rPr>
      <w:rFonts w:ascii="Times New Roman" w:hAnsi="Times New Roman" w:eastAsia="Times New Roman"/>
      <w:sz w:val="18"/>
      <w:szCs w:val="18"/>
      <w:lang w:eastAsia="uk-UA"/>
    </w:rPr>
  </w:style>
  <w:style w:type="character" w:customStyle="1" w:styleId="30">
    <w:name w:val="页脚 Char"/>
    <w:basedOn w:val="9"/>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2582</Words>
  <Characters>14724</Characters>
  <Lines>122</Lines>
  <Paragraphs>34</Paragraphs>
  <TotalTime>2</TotalTime>
  <ScaleCrop>false</ScaleCrop>
  <LinksUpToDate>false</LinksUpToDate>
  <CharactersWithSpaces>17272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2025-03-03T10:47:00Z</dcterms:created>
  <dc:creator>lenovo001</dc:creator>
  <cp:lastModifiedBy>lenovo001</cp:lastModifiedBy>
  <dcterms:modified xsi:type="dcterms:W3CDTF">2025-03-07T06:27:34Z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6A7BBDD4264C4E4EA9A3CAF2B9341651</vt:lpwstr>
  </property>
</Properties>
</file>