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9</w:t>
      </w:r>
      <w:r>
        <w:rPr>
          <w:rStyle w:val="9"/>
        </w:rPr>
        <w:fldChar w:fldCharType="end"/>
      </w:r>
    </w:p>
    <w:p>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12</w:t>
      </w:r>
      <w:r>
        <w:rPr>
          <w:rStyle w:val="9"/>
        </w:rPr>
        <w:fldChar w:fldCharType="end"/>
      </w:r>
    </w:p>
    <w:p>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14</w:t>
      </w:r>
      <w:r>
        <w:rPr>
          <w:rStyle w:val="9"/>
        </w:rPr>
        <w:fldChar w:fldCharType="end"/>
      </w:r>
    </w:p>
    <w:p>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16</w:t>
      </w:r>
      <w:r>
        <w:rPr>
          <w:rStyle w:val="9"/>
        </w:rPr>
        <w:fldChar w:fldCharType="end"/>
      </w:r>
    </w:p>
    <w:p>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17</w:t>
      </w:r>
      <w:r>
        <w:rPr>
          <w:rStyle w:val="9"/>
        </w:rPr>
        <w:fldChar w:fldCharType="end"/>
      </w:r>
    </w:p>
    <w:p>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18</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21</w:t>
      </w:r>
      <w:r>
        <w:rPr>
          <w:rStyle w:val="9"/>
        </w:rPr>
        <w:fldChar w:fldCharType="end"/>
      </w:r>
    </w:p>
    <w:p>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21</w:t>
      </w:r>
      <w:r>
        <w:rPr>
          <w:rStyle w:val="9"/>
        </w:rPr>
        <w:fldChar w:fldCharType="end"/>
      </w:r>
    </w:p>
    <w:p>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21</w:t>
      </w:r>
      <w:r>
        <w:rPr>
          <w:rStyle w:val="9"/>
        </w:rPr>
        <w:fldChar w:fldCharType="end"/>
      </w:r>
    </w:p>
    <w:p>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28</w:t>
      </w:r>
      <w:r>
        <w:rPr>
          <w:rStyle w:val="9"/>
        </w:rPr>
        <w:fldChar w:fldCharType="end"/>
      </w:r>
    </w:p>
    <w:p>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28</w:t>
      </w:r>
      <w:r>
        <w:rPr>
          <w:rStyle w:val="9"/>
        </w:rPr>
        <w:fldChar w:fldCharType="end"/>
      </w:r>
    </w:p>
    <w:p>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29</w:t>
      </w:r>
      <w:r>
        <w:rPr>
          <w:rStyle w:val="9"/>
        </w:rPr>
        <w:fldChar w:fldCharType="end"/>
      </w:r>
    </w:p>
    <w:p>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30</w:t>
      </w:r>
      <w:r>
        <w:rPr>
          <w:rStyle w:val="9"/>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bookmarkEnd w:id="0"/>
    <w:p>
      <w:pPr>
        <w:jc w:val="center"/>
        <w:outlineLvl w:val="4"/>
      </w:pPr>
      <w:bookmarkStart w:id="19" w:name="_GoBack"/>
      <w:bookmarkEnd w:id="19"/>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4230.21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4066.58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48.61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4230.21</w:t>
            </w:r>
          </w:p>
        </w:tc>
        <w:tc>
          <w:tcPr>
            <w:tcW w:w="4535" w:type="dxa"/>
            <w:vAlign w:val="center"/>
          </w:tcPr>
          <w:p>
            <w:pPr>
              <w:pStyle w:val="17"/>
            </w:pPr>
            <w:r>
              <w:t>本年支出合计</w:t>
            </w:r>
          </w:p>
        </w:tc>
        <w:tc>
          <w:tcPr>
            <w:tcW w:w="2126" w:type="dxa"/>
            <w:vAlign w:val="center"/>
          </w:tcPr>
          <w:p>
            <w:pPr>
              <w:pStyle w:val="18"/>
            </w:pPr>
            <w:r>
              <w:t>4230.21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4230.21</w:t>
            </w:r>
          </w:p>
        </w:tc>
        <w:tc>
          <w:tcPr>
            <w:tcW w:w="4535" w:type="dxa"/>
            <w:vAlign w:val="center"/>
          </w:tcPr>
          <w:p>
            <w:pPr>
              <w:pStyle w:val="17"/>
            </w:pPr>
            <w:r>
              <w:t>支出总计</w:t>
            </w:r>
          </w:p>
        </w:tc>
        <w:tc>
          <w:tcPr>
            <w:tcW w:w="2126" w:type="dxa"/>
            <w:vAlign w:val="center"/>
          </w:tcPr>
          <w:p>
            <w:pPr>
              <w:pStyle w:val="18"/>
            </w:pPr>
            <w:r>
              <w:t>4230.21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4230.21</w:t>
            </w:r>
          </w:p>
        </w:tc>
        <w:tc>
          <w:tcPr>
            <w:tcW w:w="1134" w:type="dxa"/>
            <w:vAlign w:val="center"/>
          </w:tcPr>
          <w:p>
            <w:pPr>
              <w:pStyle w:val="18"/>
            </w:pPr>
            <w:r>
              <w:t>4230.21</w:t>
            </w:r>
          </w:p>
        </w:tc>
        <w:tc>
          <w:tcPr>
            <w:tcW w:w="1134" w:type="dxa"/>
            <w:vAlign w:val="center"/>
          </w:tcPr>
          <w:p>
            <w:pPr>
              <w:pStyle w:val="18"/>
            </w:pPr>
            <w:r>
              <w:t>4230.21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115.02</w:t>
            </w:r>
          </w:p>
        </w:tc>
        <w:tc>
          <w:tcPr>
            <w:tcW w:w="1134" w:type="dxa"/>
            <w:vAlign w:val="center"/>
          </w:tcPr>
          <w:p>
            <w:pPr>
              <w:pStyle w:val="14"/>
            </w:pPr>
            <w:r>
              <w:t>115.02</w:t>
            </w:r>
          </w:p>
        </w:tc>
        <w:tc>
          <w:tcPr>
            <w:tcW w:w="1134" w:type="dxa"/>
            <w:vAlign w:val="center"/>
          </w:tcPr>
          <w:p>
            <w:pPr>
              <w:pStyle w:val="14"/>
            </w:pPr>
            <w:r>
              <w:t>115.02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113.55</w:t>
            </w:r>
          </w:p>
        </w:tc>
        <w:tc>
          <w:tcPr>
            <w:tcW w:w="1134" w:type="dxa"/>
            <w:vAlign w:val="center"/>
          </w:tcPr>
          <w:p>
            <w:pPr>
              <w:pStyle w:val="14"/>
            </w:pPr>
            <w:r>
              <w:t>113.55</w:t>
            </w:r>
          </w:p>
        </w:tc>
        <w:tc>
          <w:tcPr>
            <w:tcW w:w="1134" w:type="dxa"/>
            <w:vAlign w:val="center"/>
          </w:tcPr>
          <w:p>
            <w:pPr>
              <w:pStyle w:val="14"/>
            </w:pPr>
            <w:r>
              <w:t>113.55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54.73</w:t>
            </w:r>
          </w:p>
        </w:tc>
        <w:tc>
          <w:tcPr>
            <w:tcW w:w="1134" w:type="dxa"/>
            <w:vAlign w:val="center"/>
          </w:tcPr>
          <w:p>
            <w:pPr>
              <w:pStyle w:val="14"/>
            </w:pPr>
            <w:r>
              <w:t>54.73</w:t>
            </w:r>
          </w:p>
        </w:tc>
        <w:tc>
          <w:tcPr>
            <w:tcW w:w="1134" w:type="dxa"/>
            <w:vAlign w:val="center"/>
          </w:tcPr>
          <w:p>
            <w:pPr>
              <w:pStyle w:val="14"/>
            </w:pPr>
            <w:r>
              <w:t>54.73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58.82</w:t>
            </w:r>
          </w:p>
        </w:tc>
        <w:tc>
          <w:tcPr>
            <w:tcW w:w="1134" w:type="dxa"/>
            <w:vAlign w:val="center"/>
          </w:tcPr>
          <w:p>
            <w:pPr>
              <w:pStyle w:val="14"/>
            </w:pPr>
            <w:r>
              <w:t>58.82</w:t>
            </w:r>
          </w:p>
        </w:tc>
        <w:tc>
          <w:tcPr>
            <w:tcW w:w="1134" w:type="dxa"/>
            <w:vAlign w:val="center"/>
          </w:tcPr>
          <w:p>
            <w:pPr>
              <w:pStyle w:val="14"/>
            </w:pPr>
            <w:r>
              <w:t>58.82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1.47</w:t>
            </w:r>
          </w:p>
        </w:tc>
        <w:tc>
          <w:tcPr>
            <w:tcW w:w="1134" w:type="dxa"/>
            <w:vAlign w:val="center"/>
          </w:tcPr>
          <w:p>
            <w:pPr>
              <w:pStyle w:val="14"/>
            </w:pPr>
            <w:r>
              <w:t>1.47</w:t>
            </w:r>
          </w:p>
        </w:tc>
        <w:tc>
          <w:tcPr>
            <w:tcW w:w="1134" w:type="dxa"/>
            <w:vAlign w:val="center"/>
          </w:tcPr>
          <w:p>
            <w:pPr>
              <w:pStyle w:val="14"/>
            </w:pPr>
            <w:r>
              <w:t>1.47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1.47</w:t>
            </w:r>
          </w:p>
        </w:tc>
        <w:tc>
          <w:tcPr>
            <w:tcW w:w="1134" w:type="dxa"/>
            <w:vAlign w:val="center"/>
          </w:tcPr>
          <w:p>
            <w:pPr>
              <w:pStyle w:val="14"/>
            </w:pPr>
            <w:r>
              <w:t>1.47</w:t>
            </w:r>
          </w:p>
        </w:tc>
        <w:tc>
          <w:tcPr>
            <w:tcW w:w="1134" w:type="dxa"/>
            <w:vAlign w:val="center"/>
          </w:tcPr>
          <w:p>
            <w:pPr>
              <w:pStyle w:val="14"/>
            </w:pPr>
            <w:r>
              <w:t>1.47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4066.58</w:t>
            </w:r>
          </w:p>
        </w:tc>
        <w:tc>
          <w:tcPr>
            <w:tcW w:w="1134" w:type="dxa"/>
            <w:vAlign w:val="center"/>
          </w:tcPr>
          <w:p>
            <w:pPr>
              <w:pStyle w:val="14"/>
            </w:pPr>
            <w:r>
              <w:t>4066.58</w:t>
            </w:r>
          </w:p>
        </w:tc>
        <w:tc>
          <w:tcPr>
            <w:tcW w:w="1134" w:type="dxa"/>
            <w:vAlign w:val="center"/>
          </w:tcPr>
          <w:p>
            <w:pPr>
              <w:pStyle w:val="14"/>
            </w:pPr>
            <w:r>
              <w:t>4066.58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20.87</w:t>
            </w:r>
          </w:p>
        </w:tc>
        <w:tc>
          <w:tcPr>
            <w:tcW w:w="1134" w:type="dxa"/>
            <w:vAlign w:val="center"/>
          </w:tcPr>
          <w:p>
            <w:pPr>
              <w:pStyle w:val="14"/>
            </w:pPr>
            <w:r>
              <w:t>20.87</w:t>
            </w:r>
          </w:p>
        </w:tc>
        <w:tc>
          <w:tcPr>
            <w:tcW w:w="1134" w:type="dxa"/>
            <w:vAlign w:val="center"/>
          </w:tcPr>
          <w:p>
            <w:pPr>
              <w:pStyle w:val="14"/>
            </w:pPr>
            <w:r>
              <w:t>20.87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20.87</w:t>
            </w:r>
          </w:p>
        </w:tc>
        <w:tc>
          <w:tcPr>
            <w:tcW w:w="1134" w:type="dxa"/>
            <w:vAlign w:val="center"/>
          </w:tcPr>
          <w:p>
            <w:pPr>
              <w:pStyle w:val="14"/>
            </w:pPr>
            <w:r>
              <w:t>20.87</w:t>
            </w:r>
          </w:p>
        </w:tc>
        <w:tc>
          <w:tcPr>
            <w:tcW w:w="1134" w:type="dxa"/>
            <w:vAlign w:val="center"/>
          </w:tcPr>
          <w:p>
            <w:pPr>
              <w:pStyle w:val="14"/>
            </w:pPr>
            <w:r>
              <w:t>20.87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3150.00</w:t>
            </w:r>
          </w:p>
        </w:tc>
        <w:tc>
          <w:tcPr>
            <w:tcW w:w="1134" w:type="dxa"/>
            <w:vAlign w:val="center"/>
          </w:tcPr>
          <w:p>
            <w:pPr>
              <w:pStyle w:val="14"/>
            </w:pPr>
            <w:r>
              <w:t>3150.00</w:t>
            </w:r>
          </w:p>
        </w:tc>
        <w:tc>
          <w:tcPr>
            <w:tcW w:w="1134" w:type="dxa"/>
            <w:vAlign w:val="center"/>
          </w:tcPr>
          <w:p>
            <w:pPr>
              <w:pStyle w:val="14"/>
            </w:pPr>
            <w:r>
              <w:t>3150.00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2101202</w:t>
            </w:r>
          </w:p>
        </w:tc>
        <w:tc>
          <w:tcPr>
            <w:tcW w:w="1559" w:type="dxa"/>
            <w:vAlign w:val="center"/>
          </w:tcPr>
          <w:p>
            <w:pPr>
              <w:pStyle w:val="15"/>
            </w:pPr>
            <w:r>
              <w:t>财政对城乡居民基本医疗保险基金的补助</w:t>
            </w:r>
          </w:p>
        </w:tc>
        <w:tc>
          <w:tcPr>
            <w:tcW w:w="1134" w:type="dxa"/>
            <w:vAlign w:val="center"/>
          </w:tcPr>
          <w:p>
            <w:pPr>
              <w:pStyle w:val="14"/>
            </w:pPr>
            <w:r>
              <w:t>3150.00</w:t>
            </w:r>
          </w:p>
        </w:tc>
        <w:tc>
          <w:tcPr>
            <w:tcW w:w="1134" w:type="dxa"/>
            <w:vAlign w:val="center"/>
          </w:tcPr>
          <w:p>
            <w:pPr>
              <w:pStyle w:val="14"/>
            </w:pPr>
            <w:r>
              <w:t>3150.00</w:t>
            </w:r>
          </w:p>
        </w:tc>
        <w:tc>
          <w:tcPr>
            <w:tcW w:w="1134" w:type="dxa"/>
            <w:vAlign w:val="center"/>
          </w:tcPr>
          <w:p>
            <w:pPr>
              <w:pStyle w:val="14"/>
            </w:pPr>
            <w:r>
              <w:t>3150.00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21013</w:t>
            </w:r>
          </w:p>
        </w:tc>
        <w:tc>
          <w:tcPr>
            <w:tcW w:w="1559" w:type="dxa"/>
            <w:vAlign w:val="center"/>
          </w:tcPr>
          <w:p>
            <w:pPr>
              <w:pStyle w:val="15"/>
            </w:pPr>
            <w:r>
              <w:t>医疗救助</w:t>
            </w:r>
          </w:p>
        </w:tc>
        <w:tc>
          <w:tcPr>
            <w:tcW w:w="1134" w:type="dxa"/>
            <w:vAlign w:val="center"/>
          </w:tcPr>
          <w:p>
            <w:pPr>
              <w:pStyle w:val="14"/>
            </w:pPr>
            <w:r>
              <w:t>305.80</w:t>
            </w:r>
          </w:p>
        </w:tc>
        <w:tc>
          <w:tcPr>
            <w:tcW w:w="1134" w:type="dxa"/>
            <w:vAlign w:val="center"/>
          </w:tcPr>
          <w:p>
            <w:pPr>
              <w:pStyle w:val="14"/>
            </w:pPr>
            <w:r>
              <w:t>305.80</w:t>
            </w:r>
          </w:p>
        </w:tc>
        <w:tc>
          <w:tcPr>
            <w:tcW w:w="1134" w:type="dxa"/>
            <w:vAlign w:val="center"/>
          </w:tcPr>
          <w:p>
            <w:pPr>
              <w:pStyle w:val="14"/>
            </w:pPr>
            <w:r>
              <w:t>305.80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2101301</w:t>
            </w:r>
          </w:p>
        </w:tc>
        <w:tc>
          <w:tcPr>
            <w:tcW w:w="1559" w:type="dxa"/>
            <w:vAlign w:val="center"/>
          </w:tcPr>
          <w:p>
            <w:pPr>
              <w:pStyle w:val="15"/>
            </w:pPr>
            <w:r>
              <w:t>城乡医疗救助</w:t>
            </w:r>
          </w:p>
        </w:tc>
        <w:tc>
          <w:tcPr>
            <w:tcW w:w="1134" w:type="dxa"/>
            <w:vAlign w:val="center"/>
          </w:tcPr>
          <w:p>
            <w:pPr>
              <w:pStyle w:val="14"/>
            </w:pPr>
            <w:r>
              <w:t>305.80</w:t>
            </w:r>
          </w:p>
        </w:tc>
        <w:tc>
          <w:tcPr>
            <w:tcW w:w="1134" w:type="dxa"/>
            <w:vAlign w:val="center"/>
          </w:tcPr>
          <w:p>
            <w:pPr>
              <w:pStyle w:val="14"/>
            </w:pPr>
            <w:r>
              <w:t>305.80</w:t>
            </w:r>
          </w:p>
        </w:tc>
        <w:tc>
          <w:tcPr>
            <w:tcW w:w="1134" w:type="dxa"/>
            <w:vAlign w:val="center"/>
          </w:tcPr>
          <w:p>
            <w:pPr>
              <w:pStyle w:val="14"/>
            </w:pPr>
            <w:r>
              <w:t>305.80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21015</w:t>
            </w:r>
          </w:p>
        </w:tc>
        <w:tc>
          <w:tcPr>
            <w:tcW w:w="1559" w:type="dxa"/>
            <w:vAlign w:val="center"/>
          </w:tcPr>
          <w:p>
            <w:pPr>
              <w:pStyle w:val="15"/>
            </w:pPr>
            <w:r>
              <w:t>医疗保障管理事务</w:t>
            </w:r>
          </w:p>
        </w:tc>
        <w:tc>
          <w:tcPr>
            <w:tcW w:w="1134" w:type="dxa"/>
            <w:vAlign w:val="center"/>
          </w:tcPr>
          <w:p>
            <w:pPr>
              <w:pStyle w:val="14"/>
            </w:pPr>
            <w:r>
              <w:t>589.91</w:t>
            </w:r>
          </w:p>
        </w:tc>
        <w:tc>
          <w:tcPr>
            <w:tcW w:w="1134" w:type="dxa"/>
            <w:vAlign w:val="center"/>
          </w:tcPr>
          <w:p>
            <w:pPr>
              <w:pStyle w:val="14"/>
            </w:pPr>
            <w:r>
              <w:t>589.91</w:t>
            </w:r>
          </w:p>
        </w:tc>
        <w:tc>
          <w:tcPr>
            <w:tcW w:w="1134" w:type="dxa"/>
            <w:vAlign w:val="center"/>
          </w:tcPr>
          <w:p>
            <w:pPr>
              <w:pStyle w:val="14"/>
            </w:pPr>
            <w:r>
              <w:t>589.91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2101501</w:t>
            </w:r>
          </w:p>
        </w:tc>
        <w:tc>
          <w:tcPr>
            <w:tcW w:w="1559" w:type="dxa"/>
            <w:vAlign w:val="center"/>
          </w:tcPr>
          <w:p>
            <w:pPr>
              <w:pStyle w:val="15"/>
            </w:pPr>
            <w:r>
              <w:t>行政运行</w:t>
            </w:r>
          </w:p>
        </w:tc>
        <w:tc>
          <w:tcPr>
            <w:tcW w:w="1134" w:type="dxa"/>
            <w:vAlign w:val="center"/>
          </w:tcPr>
          <w:p>
            <w:pPr>
              <w:pStyle w:val="14"/>
            </w:pPr>
            <w:r>
              <w:t>561.91</w:t>
            </w:r>
          </w:p>
        </w:tc>
        <w:tc>
          <w:tcPr>
            <w:tcW w:w="1134" w:type="dxa"/>
            <w:vAlign w:val="center"/>
          </w:tcPr>
          <w:p>
            <w:pPr>
              <w:pStyle w:val="14"/>
            </w:pPr>
            <w:r>
              <w:t>561.91</w:t>
            </w:r>
          </w:p>
        </w:tc>
        <w:tc>
          <w:tcPr>
            <w:tcW w:w="1134" w:type="dxa"/>
            <w:vAlign w:val="center"/>
          </w:tcPr>
          <w:p>
            <w:pPr>
              <w:pStyle w:val="14"/>
            </w:pPr>
            <w:r>
              <w:t>561.91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2101599</w:t>
            </w:r>
          </w:p>
        </w:tc>
        <w:tc>
          <w:tcPr>
            <w:tcW w:w="1559" w:type="dxa"/>
            <w:vAlign w:val="center"/>
          </w:tcPr>
          <w:p>
            <w:pPr>
              <w:pStyle w:val="15"/>
            </w:pPr>
            <w:r>
              <w:t>其他医疗保障管理事务支出</w:t>
            </w:r>
          </w:p>
        </w:tc>
        <w:tc>
          <w:tcPr>
            <w:tcW w:w="1134" w:type="dxa"/>
            <w:vAlign w:val="center"/>
          </w:tcPr>
          <w:p>
            <w:pPr>
              <w:pStyle w:val="14"/>
            </w:pPr>
            <w:r>
              <w:t>28.00</w:t>
            </w:r>
          </w:p>
        </w:tc>
        <w:tc>
          <w:tcPr>
            <w:tcW w:w="1134" w:type="dxa"/>
            <w:vAlign w:val="center"/>
          </w:tcPr>
          <w:p>
            <w:pPr>
              <w:pStyle w:val="14"/>
            </w:pPr>
            <w:r>
              <w:t>28.00</w:t>
            </w:r>
          </w:p>
        </w:tc>
        <w:tc>
          <w:tcPr>
            <w:tcW w:w="1134" w:type="dxa"/>
            <w:vAlign w:val="center"/>
          </w:tcPr>
          <w:p>
            <w:pPr>
              <w:pStyle w:val="14"/>
            </w:pPr>
            <w:r>
              <w:t>28.00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48.61</w:t>
            </w:r>
          </w:p>
        </w:tc>
        <w:tc>
          <w:tcPr>
            <w:tcW w:w="1134" w:type="dxa"/>
            <w:vAlign w:val="center"/>
          </w:tcPr>
          <w:p>
            <w:pPr>
              <w:pStyle w:val="14"/>
            </w:pPr>
            <w:r>
              <w:t>48.61</w:t>
            </w:r>
          </w:p>
        </w:tc>
        <w:tc>
          <w:tcPr>
            <w:tcW w:w="1134" w:type="dxa"/>
            <w:vAlign w:val="center"/>
          </w:tcPr>
          <w:p>
            <w:pPr>
              <w:pStyle w:val="14"/>
            </w:pPr>
            <w:r>
              <w:t>48.61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48.61</w:t>
            </w:r>
          </w:p>
        </w:tc>
        <w:tc>
          <w:tcPr>
            <w:tcW w:w="1134" w:type="dxa"/>
            <w:vAlign w:val="center"/>
          </w:tcPr>
          <w:p>
            <w:pPr>
              <w:pStyle w:val="14"/>
            </w:pPr>
            <w:r>
              <w:t>48.61</w:t>
            </w:r>
          </w:p>
        </w:tc>
        <w:tc>
          <w:tcPr>
            <w:tcW w:w="1134" w:type="dxa"/>
            <w:vAlign w:val="center"/>
          </w:tcPr>
          <w:p>
            <w:pPr>
              <w:pStyle w:val="14"/>
            </w:pPr>
            <w:r>
              <w:t>48.61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48.61</w:t>
            </w:r>
          </w:p>
        </w:tc>
        <w:tc>
          <w:tcPr>
            <w:tcW w:w="1134" w:type="dxa"/>
            <w:vAlign w:val="center"/>
          </w:tcPr>
          <w:p>
            <w:pPr>
              <w:pStyle w:val="14"/>
            </w:pPr>
            <w:r>
              <w:t>48.61</w:t>
            </w:r>
          </w:p>
        </w:tc>
        <w:tc>
          <w:tcPr>
            <w:tcW w:w="1134" w:type="dxa"/>
            <w:vAlign w:val="center"/>
          </w:tcPr>
          <w:p>
            <w:pPr>
              <w:pStyle w:val="14"/>
            </w:pPr>
            <w:r>
              <w:t>48.61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4230.21</w:t>
            </w:r>
          </w:p>
        </w:tc>
        <w:tc>
          <w:tcPr>
            <w:tcW w:w="1361" w:type="dxa"/>
            <w:vAlign w:val="center"/>
          </w:tcPr>
          <w:p>
            <w:pPr>
              <w:pStyle w:val="18"/>
            </w:pPr>
            <w:r>
              <w:t>746.41</w:t>
            </w:r>
          </w:p>
        </w:tc>
        <w:tc>
          <w:tcPr>
            <w:tcW w:w="1361" w:type="dxa"/>
            <w:vAlign w:val="center"/>
          </w:tcPr>
          <w:p>
            <w:pPr>
              <w:pStyle w:val="18"/>
            </w:pPr>
            <w:r>
              <w:t>3483.80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115.02</w:t>
            </w:r>
          </w:p>
        </w:tc>
        <w:tc>
          <w:tcPr>
            <w:tcW w:w="1361" w:type="dxa"/>
            <w:vAlign w:val="center"/>
          </w:tcPr>
          <w:p>
            <w:pPr>
              <w:pStyle w:val="14"/>
            </w:pPr>
            <w:r>
              <w:t>115.02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113.55</w:t>
            </w:r>
          </w:p>
        </w:tc>
        <w:tc>
          <w:tcPr>
            <w:tcW w:w="1361" w:type="dxa"/>
            <w:vAlign w:val="center"/>
          </w:tcPr>
          <w:p>
            <w:pPr>
              <w:pStyle w:val="14"/>
            </w:pPr>
            <w:r>
              <w:t>113.55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54.73</w:t>
            </w:r>
          </w:p>
        </w:tc>
        <w:tc>
          <w:tcPr>
            <w:tcW w:w="1361" w:type="dxa"/>
            <w:vAlign w:val="center"/>
          </w:tcPr>
          <w:p>
            <w:pPr>
              <w:pStyle w:val="14"/>
            </w:pPr>
            <w:r>
              <w:t>54.73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58.82</w:t>
            </w:r>
          </w:p>
        </w:tc>
        <w:tc>
          <w:tcPr>
            <w:tcW w:w="1361" w:type="dxa"/>
            <w:vAlign w:val="center"/>
          </w:tcPr>
          <w:p>
            <w:pPr>
              <w:pStyle w:val="14"/>
            </w:pPr>
            <w:r>
              <w:t>58.82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1.47</w:t>
            </w:r>
          </w:p>
        </w:tc>
        <w:tc>
          <w:tcPr>
            <w:tcW w:w="1361" w:type="dxa"/>
            <w:vAlign w:val="center"/>
          </w:tcPr>
          <w:p>
            <w:pPr>
              <w:pStyle w:val="14"/>
            </w:pPr>
            <w:r>
              <w:t>1.47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1.47</w:t>
            </w:r>
          </w:p>
        </w:tc>
        <w:tc>
          <w:tcPr>
            <w:tcW w:w="1361" w:type="dxa"/>
            <w:vAlign w:val="center"/>
          </w:tcPr>
          <w:p>
            <w:pPr>
              <w:pStyle w:val="14"/>
            </w:pPr>
            <w:r>
              <w:t>1.47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4066.58</w:t>
            </w:r>
          </w:p>
        </w:tc>
        <w:tc>
          <w:tcPr>
            <w:tcW w:w="1361" w:type="dxa"/>
            <w:vAlign w:val="center"/>
          </w:tcPr>
          <w:p>
            <w:pPr>
              <w:pStyle w:val="14"/>
            </w:pPr>
            <w:r>
              <w:t>582.78</w:t>
            </w:r>
          </w:p>
        </w:tc>
        <w:tc>
          <w:tcPr>
            <w:tcW w:w="1361" w:type="dxa"/>
            <w:vAlign w:val="center"/>
          </w:tcPr>
          <w:p>
            <w:pPr>
              <w:pStyle w:val="14"/>
            </w:pPr>
            <w:r>
              <w:t>3483.80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20.87</w:t>
            </w:r>
          </w:p>
        </w:tc>
        <w:tc>
          <w:tcPr>
            <w:tcW w:w="1361" w:type="dxa"/>
            <w:vAlign w:val="center"/>
          </w:tcPr>
          <w:p>
            <w:pPr>
              <w:pStyle w:val="14"/>
            </w:pPr>
            <w:r>
              <w:t>20.87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20.87</w:t>
            </w:r>
          </w:p>
        </w:tc>
        <w:tc>
          <w:tcPr>
            <w:tcW w:w="1361" w:type="dxa"/>
            <w:vAlign w:val="center"/>
          </w:tcPr>
          <w:p>
            <w:pPr>
              <w:pStyle w:val="14"/>
            </w:pPr>
            <w:r>
              <w:t>20.87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3150.00</w:t>
            </w:r>
          </w:p>
        </w:tc>
        <w:tc>
          <w:tcPr>
            <w:tcW w:w="1361" w:type="dxa"/>
            <w:vAlign w:val="center"/>
          </w:tcPr>
          <w:p>
            <w:pPr>
              <w:pStyle w:val="14"/>
            </w:pPr>
          </w:p>
        </w:tc>
        <w:tc>
          <w:tcPr>
            <w:tcW w:w="1361" w:type="dxa"/>
            <w:vAlign w:val="center"/>
          </w:tcPr>
          <w:p>
            <w:pPr>
              <w:pStyle w:val="14"/>
            </w:pPr>
            <w:r>
              <w:t>3150.00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2101202</w:t>
            </w:r>
          </w:p>
        </w:tc>
        <w:tc>
          <w:tcPr>
            <w:tcW w:w="4535" w:type="dxa"/>
            <w:vAlign w:val="center"/>
          </w:tcPr>
          <w:p>
            <w:pPr>
              <w:pStyle w:val="15"/>
            </w:pPr>
            <w:r>
              <w:t>财政对城乡居民基本医疗保险基金的补助</w:t>
            </w:r>
          </w:p>
        </w:tc>
        <w:tc>
          <w:tcPr>
            <w:tcW w:w="1361" w:type="dxa"/>
            <w:vAlign w:val="center"/>
          </w:tcPr>
          <w:p>
            <w:pPr>
              <w:pStyle w:val="14"/>
            </w:pPr>
            <w:r>
              <w:t>3150.00</w:t>
            </w:r>
          </w:p>
        </w:tc>
        <w:tc>
          <w:tcPr>
            <w:tcW w:w="1361" w:type="dxa"/>
            <w:vAlign w:val="center"/>
          </w:tcPr>
          <w:p>
            <w:pPr>
              <w:pStyle w:val="14"/>
            </w:pPr>
          </w:p>
        </w:tc>
        <w:tc>
          <w:tcPr>
            <w:tcW w:w="1361" w:type="dxa"/>
            <w:vAlign w:val="center"/>
          </w:tcPr>
          <w:p>
            <w:pPr>
              <w:pStyle w:val="14"/>
            </w:pPr>
            <w:r>
              <w:t>3150.00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21013</w:t>
            </w:r>
          </w:p>
        </w:tc>
        <w:tc>
          <w:tcPr>
            <w:tcW w:w="4535" w:type="dxa"/>
            <w:vAlign w:val="center"/>
          </w:tcPr>
          <w:p>
            <w:pPr>
              <w:pStyle w:val="15"/>
            </w:pPr>
            <w:r>
              <w:t>医疗救助</w:t>
            </w:r>
          </w:p>
        </w:tc>
        <w:tc>
          <w:tcPr>
            <w:tcW w:w="1361" w:type="dxa"/>
            <w:vAlign w:val="center"/>
          </w:tcPr>
          <w:p>
            <w:pPr>
              <w:pStyle w:val="14"/>
            </w:pPr>
            <w:r>
              <w:t>305.80</w:t>
            </w:r>
          </w:p>
        </w:tc>
        <w:tc>
          <w:tcPr>
            <w:tcW w:w="1361" w:type="dxa"/>
            <w:vAlign w:val="center"/>
          </w:tcPr>
          <w:p>
            <w:pPr>
              <w:pStyle w:val="14"/>
            </w:pPr>
          </w:p>
        </w:tc>
        <w:tc>
          <w:tcPr>
            <w:tcW w:w="1361" w:type="dxa"/>
            <w:vAlign w:val="center"/>
          </w:tcPr>
          <w:p>
            <w:pPr>
              <w:pStyle w:val="14"/>
            </w:pPr>
            <w:r>
              <w:t>305.80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2101301</w:t>
            </w:r>
          </w:p>
        </w:tc>
        <w:tc>
          <w:tcPr>
            <w:tcW w:w="4535" w:type="dxa"/>
            <w:vAlign w:val="center"/>
          </w:tcPr>
          <w:p>
            <w:pPr>
              <w:pStyle w:val="15"/>
            </w:pPr>
            <w:r>
              <w:t>城乡医疗救助</w:t>
            </w:r>
          </w:p>
        </w:tc>
        <w:tc>
          <w:tcPr>
            <w:tcW w:w="1361" w:type="dxa"/>
            <w:vAlign w:val="center"/>
          </w:tcPr>
          <w:p>
            <w:pPr>
              <w:pStyle w:val="14"/>
            </w:pPr>
            <w:r>
              <w:t>305.80</w:t>
            </w:r>
          </w:p>
        </w:tc>
        <w:tc>
          <w:tcPr>
            <w:tcW w:w="1361" w:type="dxa"/>
            <w:vAlign w:val="center"/>
          </w:tcPr>
          <w:p>
            <w:pPr>
              <w:pStyle w:val="14"/>
            </w:pPr>
          </w:p>
        </w:tc>
        <w:tc>
          <w:tcPr>
            <w:tcW w:w="1361" w:type="dxa"/>
            <w:vAlign w:val="center"/>
          </w:tcPr>
          <w:p>
            <w:pPr>
              <w:pStyle w:val="14"/>
            </w:pPr>
            <w:r>
              <w:t>305.80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21015</w:t>
            </w:r>
          </w:p>
        </w:tc>
        <w:tc>
          <w:tcPr>
            <w:tcW w:w="4535" w:type="dxa"/>
            <w:vAlign w:val="center"/>
          </w:tcPr>
          <w:p>
            <w:pPr>
              <w:pStyle w:val="15"/>
            </w:pPr>
            <w:r>
              <w:t>医疗保障管理事务</w:t>
            </w:r>
          </w:p>
        </w:tc>
        <w:tc>
          <w:tcPr>
            <w:tcW w:w="1361" w:type="dxa"/>
            <w:vAlign w:val="center"/>
          </w:tcPr>
          <w:p>
            <w:pPr>
              <w:pStyle w:val="14"/>
            </w:pPr>
            <w:r>
              <w:t>589.91</w:t>
            </w:r>
          </w:p>
        </w:tc>
        <w:tc>
          <w:tcPr>
            <w:tcW w:w="1361" w:type="dxa"/>
            <w:vAlign w:val="center"/>
          </w:tcPr>
          <w:p>
            <w:pPr>
              <w:pStyle w:val="14"/>
            </w:pPr>
            <w:r>
              <w:t>561.91</w:t>
            </w: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2101501</w:t>
            </w:r>
          </w:p>
        </w:tc>
        <w:tc>
          <w:tcPr>
            <w:tcW w:w="4535" w:type="dxa"/>
            <w:vAlign w:val="center"/>
          </w:tcPr>
          <w:p>
            <w:pPr>
              <w:pStyle w:val="15"/>
            </w:pPr>
            <w:r>
              <w:t>行政运行</w:t>
            </w:r>
          </w:p>
        </w:tc>
        <w:tc>
          <w:tcPr>
            <w:tcW w:w="1361" w:type="dxa"/>
            <w:vAlign w:val="center"/>
          </w:tcPr>
          <w:p>
            <w:pPr>
              <w:pStyle w:val="14"/>
            </w:pPr>
            <w:r>
              <w:t>561.91</w:t>
            </w:r>
          </w:p>
        </w:tc>
        <w:tc>
          <w:tcPr>
            <w:tcW w:w="1361" w:type="dxa"/>
            <w:vAlign w:val="center"/>
          </w:tcPr>
          <w:p>
            <w:pPr>
              <w:pStyle w:val="14"/>
            </w:pPr>
            <w:r>
              <w:t>561.91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2101599</w:t>
            </w:r>
          </w:p>
        </w:tc>
        <w:tc>
          <w:tcPr>
            <w:tcW w:w="4535" w:type="dxa"/>
            <w:vAlign w:val="center"/>
          </w:tcPr>
          <w:p>
            <w:pPr>
              <w:pStyle w:val="15"/>
            </w:pPr>
            <w:r>
              <w:t>其他医疗保障管理事务支出</w:t>
            </w: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48.61</w:t>
            </w:r>
          </w:p>
        </w:tc>
        <w:tc>
          <w:tcPr>
            <w:tcW w:w="1361" w:type="dxa"/>
            <w:vAlign w:val="center"/>
          </w:tcPr>
          <w:p>
            <w:pPr>
              <w:pStyle w:val="14"/>
            </w:pPr>
            <w:r>
              <w:t>48.61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48.61</w:t>
            </w:r>
          </w:p>
        </w:tc>
        <w:tc>
          <w:tcPr>
            <w:tcW w:w="1361" w:type="dxa"/>
            <w:vAlign w:val="center"/>
          </w:tcPr>
          <w:p>
            <w:pPr>
              <w:pStyle w:val="14"/>
            </w:pPr>
            <w:r>
              <w:t>48.61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48.61</w:t>
            </w:r>
          </w:p>
        </w:tc>
        <w:tc>
          <w:tcPr>
            <w:tcW w:w="1361" w:type="dxa"/>
            <w:vAlign w:val="center"/>
          </w:tcPr>
          <w:p>
            <w:pPr>
              <w:pStyle w:val="14"/>
            </w:pPr>
            <w:r>
              <w:t>48.61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4230.21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115.02</w:t>
            </w:r>
          </w:p>
        </w:tc>
        <w:tc>
          <w:tcPr>
            <w:tcW w:w="1474" w:type="dxa"/>
            <w:vAlign w:val="center"/>
          </w:tcPr>
          <w:p>
            <w:pPr>
              <w:pStyle w:val="14"/>
            </w:pPr>
            <w:r>
              <w:t>115.02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4066.58</w:t>
            </w:r>
          </w:p>
        </w:tc>
        <w:tc>
          <w:tcPr>
            <w:tcW w:w="1474" w:type="dxa"/>
            <w:vAlign w:val="center"/>
          </w:tcPr>
          <w:p>
            <w:pPr>
              <w:pStyle w:val="14"/>
            </w:pPr>
            <w:r>
              <w:t>4066.58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48.61</w:t>
            </w:r>
          </w:p>
        </w:tc>
        <w:tc>
          <w:tcPr>
            <w:tcW w:w="1474" w:type="dxa"/>
            <w:vAlign w:val="center"/>
          </w:tcPr>
          <w:p>
            <w:pPr>
              <w:pStyle w:val="14"/>
            </w:pPr>
            <w:r>
              <w:t>48.61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4230.21</w:t>
            </w:r>
          </w:p>
        </w:tc>
        <w:tc>
          <w:tcPr>
            <w:tcW w:w="3402" w:type="dxa"/>
            <w:vAlign w:val="center"/>
          </w:tcPr>
          <w:p>
            <w:pPr>
              <w:pStyle w:val="17"/>
            </w:pPr>
            <w:r>
              <w:t>本年支出合计</w:t>
            </w:r>
          </w:p>
        </w:tc>
        <w:tc>
          <w:tcPr>
            <w:tcW w:w="1474" w:type="dxa"/>
            <w:vAlign w:val="center"/>
          </w:tcPr>
          <w:p>
            <w:pPr>
              <w:pStyle w:val="18"/>
            </w:pPr>
            <w:r>
              <w:t>4230.21</w:t>
            </w:r>
          </w:p>
        </w:tc>
        <w:tc>
          <w:tcPr>
            <w:tcW w:w="1474" w:type="dxa"/>
            <w:vAlign w:val="center"/>
          </w:tcPr>
          <w:p>
            <w:pPr>
              <w:pStyle w:val="18"/>
            </w:pPr>
            <w:r>
              <w:t>4230.21</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4230.21</w:t>
            </w:r>
          </w:p>
        </w:tc>
        <w:tc>
          <w:tcPr>
            <w:tcW w:w="3402" w:type="dxa"/>
            <w:vAlign w:val="center"/>
          </w:tcPr>
          <w:p>
            <w:pPr>
              <w:pStyle w:val="17"/>
            </w:pPr>
            <w:r>
              <w:t>支出总计</w:t>
            </w:r>
          </w:p>
        </w:tc>
        <w:tc>
          <w:tcPr>
            <w:tcW w:w="1474" w:type="dxa"/>
            <w:vAlign w:val="center"/>
          </w:tcPr>
          <w:p>
            <w:pPr>
              <w:pStyle w:val="18"/>
            </w:pPr>
            <w:r>
              <w:t>4230.21</w:t>
            </w:r>
          </w:p>
        </w:tc>
        <w:tc>
          <w:tcPr>
            <w:tcW w:w="1474" w:type="dxa"/>
            <w:vAlign w:val="center"/>
          </w:tcPr>
          <w:p>
            <w:pPr>
              <w:pStyle w:val="18"/>
            </w:pPr>
            <w:r>
              <w:t>4230.21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4230.21</w:t>
            </w:r>
          </w:p>
        </w:tc>
        <w:tc>
          <w:tcPr>
            <w:tcW w:w="2551" w:type="dxa"/>
            <w:vAlign w:val="center"/>
          </w:tcPr>
          <w:p>
            <w:pPr>
              <w:pStyle w:val="18"/>
            </w:pPr>
            <w:r>
              <w:t>746.41</w:t>
            </w:r>
          </w:p>
        </w:tc>
        <w:tc>
          <w:tcPr>
            <w:tcW w:w="2551" w:type="dxa"/>
            <w:vAlign w:val="center"/>
          </w:tcPr>
          <w:p>
            <w:pPr>
              <w:pStyle w:val="18"/>
            </w:pPr>
            <w:r>
              <w:t>3483.80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115.02</w:t>
            </w:r>
          </w:p>
        </w:tc>
        <w:tc>
          <w:tcPr>
            <w:tcW w:w="2551" w:type="dxa"/>
            <w:vAlign w:val="center"/>
          </w:tcPr>
          <w:p>
            <w:pPr>
              <w:pStyle w:val="14"/>
            </w:pPr>
            <w:r>
              <w:t>115.02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113.55</w:t>
            </w:r>
          </w:p>
        </w:tc>
        <w:tc>
          <w:tcPr>
            <w:tcW w:w="2551" w:type="dxa"/>
            <w:vAlign w:val="center"/>
          </w:tcPr>
          <w:p>
            <w:pPr>
              <w:pStyle w:val="14"/>
            </w:pPr>
            <w:r>
              <w:t>113.55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54.73</w:t>
            </w:r>
          </w:p>
        </w:tc>
        <w:tc>
          <w:tcPr>
            <w:tcW w:w="2551" w:type="dxa"/>
            <w:vAlign w:val="center"/>
          </w:tcPr>
          <w:p>
            <w:pPr>
              <w:pStyle w:val="14"/>
            </w:pPr>
            <w:r>
              <w:t>54.73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58.82</w:t>
            </w:r>
          </w:p>
        </w:tc>
        <w:tc>
          <w:tcPr>
            <w:tcW w:w="2551" w:type="dxa"/>
            <w:vAlign w:val="center"/>
          </w:tcPr>
          <w:p>
            <w:pPr>
              <w:pStyle w:val="14"/>
            </w:pPr>
            <w:r>
              <w:t>58.82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1.47</w:t>
            </w:r>
          </w:p>
        </w:tc>
        <w:tc>
          <w:tcPr>
            <w:tcW w:w="2551" w:type="dxa"/>
            <w:vAlign w:val="center"/>
          </w:tcPr>
          <w:p>
            <w:pPr>
              <w:pStyle w:val="14"/>
            </w:pPr>
            <w:r>
              <w:t>1.47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1.47</w:t>
            </w:r>
          </w:p>
        </w:tc>
        <w:tc>
          <w:tcPr>
            <w:tcW w:w="2551" w:type="dxa"/>
            <w:vAlign w:val="center"/>
          </w:tcPr>
          <w:p>
            <w:pPr>
              <w:pStyle w:val="14"/>
            </w:pPr>
            <w:r>
              <w:t>1.47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4066.58</w:t>
            </w:r>
          </w:p>
        </w:tc>
        <w:tc>
          <w:tcPr>
            <w:tcW w:w="2551" w:type="dxa"/>
            <w:vAlign w:val="center"/>
          </w:tcPr>
          <w:p>
            <w:pPr>
              <w:pStyle w:val="14"/>
            </w:pPr>
            <w:r>
              <w:t>582.78</w:t>
            </w:r>
          </w:p>
        </w:tc>
        <w:tc>
          <w:tcPr>
            <w:tcW w:w="2551" w:type="dxa"/>
            <w:vAlign w:val="center"/>
          </w:tcPr>
          <w:p>
            <w:pPr>
              <w:pStyle w:val="14"/>
            </w:pPr>
            <w:r>
              <w:t>3483.80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20.87</w:t>
            </w:r>
          </w:p>
        </w:tc>
        <w:tc>
          <w:tcPr>
            <w:tcW w:w="2551" w:type="dxa"/>
            <w:vAlign w:val="center"/>
          </w:tcPr>
          <w:p>
            <w:pPr>
              <w:pStyle w:val="14"/>
            </w:pPr>
            <w:r>
              <w:t>20.87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20.87</w:t>
            </w:r>
          </w:p>
        </w:tc>
        <w:tc>
          <w:tcPr>
            <w:tcW w:w="2551" w:type="dxa"/>
            <w:vAlign w:val="center"/>
          </w:tcPr>
          <w:p>
            <w:pPr>
              <w:pStyle w:val="14"/>
            </w:pPr>
            <w:r>
              <w:t>20.87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3150.00</w:t>
            </w:r>
          </w:p>
        </w:tc>
        <w:tc>
          <w:tcPr>
            <w:tcW w:w="2551" w:type="dxa"/>
            <w:vAlign w:val="center"/>
          </w:tcPr>
          <w:p>
            <w:pPr>
              <w:pStyle w:val="14"/>
            </w:pPr>
          </w:p>
        </w:tc>
        <w:tc>
          <w:tcPr>
            <w:tcW w:w="2551" w:type="dxa"/>
            <w:vAlign w:val="center"/>
          </w:tcPr>
          <w:p>
            <w:pPr>
              <w:pStyle w:val="14"/>
            </w:pPr>
            <w:r>
              <w:t>3150.00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2101202</w:t>
            </w:r>
          </w:p>
        </w:tc>
        <w:tc>
          <w:tcPr>
            <w:tcW w:w="4535" w:type="dxa"/>
            <w:vAlign w:val="center"/>
          </w:tcPr>
          <w:p>
            <w:pPr>
              <w:pStyle w:val="15"/>
            </w:pPr>
            <w:r>
              <w:t>财政对城乡居民基本医疗保险基金的补助</w:t>
            </w:r>
          </w:p>
        </w:tc>
        <w:tc>
          <w:tcPr>
            <w:tcW w:w="2551" w:type="dxa"/>
            <w:vAlign w:val="center"/>
          </w:tcPr>
          <w:p>
            <w:pPr>
              <w:pStyle w:val="14"/>
            </w:pPr>
            <w:r>
              <w:t>3150.00</w:t>
            </w:r>
          </w:p>
        </w:tc>
        <w:tc>
          <w:tcPr>
            <w:tcW w:w="2551" w:type="dxa"/>
            <w:vAlign w:val="center"/>
          </w:tcPr>
          <w:p>
            <w:pPr>
              <w:pStyle w:val="14"/>
            </w:pPr>
          </w:p>
        </w:tc>
        <w:tc>
          <w:tcPr>
            <w:tcW w:w="2551" w:type="dxa"/>
            <w:vAlign w:val="center"/>
          </w:tcPr>
          <w:p>
            <w:pPr>
              <w:pStyle w:val="14"/>
            </w:pPr>
            <w:r>
              <w:t>3150.00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21013</w:t>
            </w:r>
          </w:p>
        </w:tc>
        <w:tc>
          <w:tcPr>
            <w:tcW w:w="4535" w:type="dxa"/>
            <w:vAlign w:val="center"/>
          </w:tcPr>
          <w:p>
            <w:pPr>
              <w:pStyle w:val="15"/>
            </w:pPr>
            <w:r>
              <w:t>医疗救助</w:t>
            </w:r>
          </w:p>
        </w:tc>
        <w:tc>
          <w:tcPr>
            <w:tcW w:w="2551" w:type="dxa"/>
            <w:vAlign w:val="center"/>
          </w:tcPr>
          <w:p>
            <w:pPr>
              <w:pStyle w:val="14"/>
            </w:pPr>
            <w:r>
              <w:t>305.80</w:t>
            </w:r>
          </w:p>
        </w:tc>
        <w:tc>
          <w:tcPr>
            <w:tcW w:w="2551" w:type="dxa"/>
            <w:vAlign w:val="center"/>
          </w:tcPr>
          <w:p>
            <w:pPr>
              <w:pStyle w:val="14"/>
            </w:pPr>
          </w:p>
        </w:tc>
        <w:tc>
          <w:tcPr>
            <w:tcW w:w="2551" w:type="dxa"/>
            <w:vAlign w:val="center"/>
          </w:tcPr>
          <w:p>
            <w:pPr>
              <w:pStyle w:val="14"/>
            </w:pPr>
            <w:r>
              <w:t>305.80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2101301</w:t>
            </w:r>
          </w:p>
        </w:tc>
        <w:tc>
          <w:tcPr>
            <w:tcW w:w="4535" w:type="dxa"/>
            <w:vAlign w:val="center"/>
          </w:tcPr>
          <w:p>
            <w:pPr>
              <w:pStyle w:val="15"/>
            </w:pPr>
            <w:r>
              <w:t>城乡医疗救助</w:t>
            </w:r>
          </w:p>
        </w:tc>
        <w:tc>
          <w:tcPr>
            <w:tcW w:w="2551" w:type="dxa"/>
            <w:vAlign w:val="center"/>
          </w:tcPr>
          <w:p>
            <w:pPr>
              <w:pStyle w:val="14"/>
            </w:pPr>
            <w:r>
              <w:t>305.80</w:t>
            </w:r>
          </w:p>
        </w:tc>
        <w:tc>
          <w:tcPr>
            <w:tcW w:w="2551" w:type="dxa"/>
            <w:vAlign w:val="center"/>
          </w:tcPr>
          <w:p>
            <w:pPr>
              <w:pStyle w:val="14"/>
            </w:pPr>
          </w:p>
        </w:tc>
        <w:tc>
          <w:tcPr>
            <w:tcW w:w="2551" w:type="dxa"/>
            <w:vAlign w:val="center"/>
          </w:tcPr>
          <w:p>
            <w:pPr>
              <w:pStyle w:val="14"/>
            </w:pPr>
            <w:r>
              <w:t>305.80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21015</w:t>
            </w:r>
          </w:p>
        </w:tc>
        <w:tc>
          <w:tcPr>
            <w:tcW w:w="4535" w:type="dxa"/>
            <w:vAlign w:val="center"/>
          </w:tcPr>
          <w:p>
            <w:pPr>
              <w:pStyle w:val="15"/>
            </w:pPr>
            <w:r>
              <w:t>医疗保障管理事务</w:t>
            </w:r>
          </w:p>
        </w:tc>
        <w:tc>
          <w:tcPr>
            <w:tcW w:w="2551" w:type="dxa"/>
            <w:vAlign w:val="center"/>
          </w:tcPr>
          <w:p>
            <w:pPr>
              <w:pStyle w:val="14"/>
            </w:pPr>
            <w:r>
              <w:t>589.91</w:t>
            </w:r>
          </w:p>
        </w:tc>
        <w:tc>
          <w:tcPr>
            <w:tcW w:w="2551" w:type="dxa"/>
            <w:vAlign w:val="center"/>
          </w:tcPr>
          <w:p>
            <w:pPr>
              <w:pStyle w:val="14"/>
            </w:pPr>
            <w:r>
              <w:t>561.91</w:t>
            </w:r>
          </w:p>
        </w:tc>
        <w:tc>
          <w:tcPr>
            <w:tcW w:w="2551" w:type="dxa"/>
            <w:vAlign w:val="center"/>
          </w:tcPr>
          <w:p>
            <w:pPr>
              <w:pStyle w:val="14"/>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2101501</w:t>
            </w:r>
          </w:p>
        </w:tc>
        <w:tc>
          <w:tcPr>
            <w:tcW w:w="4535" w:type="dxa"/>
            <w:vAlign w:val="center"/>
          </w:tcPr>
          <w:p>
            <w:pPr>
              <w:pStyle w:val="15"/>
            </w:pPr>
            <w:r>
              <w:t>行政运行</w:t>
            </w:r>
          </w:p>
        </w:tc>
        <w:tc>
          <w:tcPr>
            <w:tcW w:w="2551" w:type="dxa"/>
            <w:vAlign w:val="center"/>
          </w:tcPr>
          <w:p>
            <w:pPr>
              <w:pStyle w:val="14"/>
            </w:pPr>
            <w:r>
              <w:t>561.91</w:t>
            </w:r>
          </w:p>
        </w:tc>
        <w:tc>
          <w:tcPr>
            <w:tcW w:w="2551" w:type="dxa"/>
            <w:vAlign w:val="center"/>
          </w:tcPr>
          <w:p>
            <w:pPr>
              <w:pStyle w:val="14"/>
            </w:pPr>
            <w:r>
              <w:t>561.91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2101599</w:t>
            </w:r>
          </w:p>
        </w:tc>
        <w:tc>
          <w:tcPr>
            <w:tcW w:w="4535" w:type="dxa"/>
            <w:vAlign w:val="center"/>
          </w:tcPr>
          <w:p>
            <w:pPr>
              <w:pStyle w:val="15"/>
            </w:pPr>
            <w:r>
              <w:t>其他医疗保障管理事务支出</w:t>
            </w:r>
          </w:p>
        </w:tc>
        <w:tc>
          <w:tcPr>
            <w:tcW w:w="2551" w:type="dxa"/>
            <w:vAlign w:val="center"/>
          </w:tcPr>
          <w:p>
            <w:pPr>
              <w:pStyle w:val="14"/>
            </w:pPr>
            <w:r>
              <w:t>28.00</w:t>
            </w:r>
          </w:p>
        </w:tc>
        <w:tc>
          <w:tcPr>
            <w:tcW w:w="2551" w:type="dxa"/>
            <w:vAlign w:val="center"/>
          </w:tcPr>
          <w:p>
            <w:pPr>
              <w:pStyle w:val="14"/>
            </w:pPr>
          </w:p>
        </w:tc>
        <w:tc>
          <w:tcPr>
            <w:tcW w:w="2551" w:type="dxa"/>
            <w:vAlign w:val="center"/>
          </w:tcPr>
          <w:p>
            <w:pPr>
              <w:pStyle w:val="14"/>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48.61</w:t>
            </w:r>
          </w:p>
        </w:tc>
        <w:tc>
          <w:tcPr>
            <w:tcW w:w="2551" w:type="dxa"/>
            <w:vAlign w:val="center"/>
          </w:tcPr>
          <w:p>
            <w:pPr>
              <w:pStyle w:val="14"/>
            </w:pPr>
            <w:r>
              <w:t>48.61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48.61</w:t>
            </w:r>
          </w:p>
        </w:tc>
        <w:tc>
          <w:tcPr>
            <w:tcW w:w="2551" w:type="dxa"/>
            <w:vAlign w:val="center"/>
          </w:tcPr>
          <w:p>
            <w:pPr>
              <w:pStyle w:val="14"/>
            </w:pPr>
            <w:r>
              <w:t>48.61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48.61</w:t>
            </w:r>
          </w:p>
        </w:tc>
        <w:tc>
          <w:tcPr>
            <w:tcW w:w="2551" w:type="dxa"/>
            <w:vAlign w:val="center"/>
          </w:tcPr>
          <w:p>
            <w:pPr>
              <w:pStyle w:val="14"/>
            </w:pPr>
            <w:r>
              <w:t>48.61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746.41</w:t>
            </w:r>
          </w:p>
        </w:tc>
        <w:tc>
          <w:tcPr>
            <w:tcW w:w="2551" w:type="dxa"/>
            <w:vAlign w:val="center"/>
          </w:tcPr>
          <w:p>
            <w:pPr>
              <w:pStyle w:val="18"/>
            </w:pPr>
            <w:r>
              <w:t>699.58</w:t>
            </w:r>
          </w:p>
        </w:tc>
        <w:tc>
          <w:tcPr>
            <w:tcW w:w="2551" w:type="dxa"/>
            <w:vAlign w:val="center"/>
          </w:tcPr>
          <w:p>
            <w:pPr>
              <w:pStyle w:val="18"/>
            </w:pPr>
            <w:r>
              <w:t>46.83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644.85</w:t>
            </w:r>
          </w:p>
        </w:tc>
        <w:tc>
          <w:tcPr>
            <w:tcW w:w="2551" w:type="dxa"/>
            <w:vAlign w:val="center"/>
          </w:tcPr>
          <w:p>
            <w:pPr>
              <w:pStyle w:val="14"/>
            </w:pPr>
            <w:r>
              <w:t>644.85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192.30</w:t>
            </w:r>
          </w:p>
        </w:tc>
        <w:tc>
          <w:tcPr>
            <w:tcW w:w="2551" w:type="dxa"/>
            <w:vAlign w:val="center"/>
          </w:tcPr>
          <w:p>
            <w:pPr>
              <w:pStyle w:val="14"/>
            </w:pPr>
            <w:r>
              <w:t>192.30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106.42</w:t>
            </w:r>
          </w:p>
        </w:tc>
        <w:tc>
          <w:tcPr>
            <w:tcW w:w="2551" w:type="dxa"/>
            <w:vAlign w:val="center"/>
          </w:tcPr>
          <w:p>
            <w:pPr>
              <w:pStyle w:val="14"/>
            </w:pPr>
            <w:r>
              <w:t>106.42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30.40</w:t>
            </w:r>
          </w:p>
        </w:tc>
        <w:tc>
          <w:tcPr>
            <w:tcW w:w="2551" w:type="dxa"/>
            <w:vAlign w:val="center"/>
          </w:tcPr>
          <w:p>
            <w:pPr>
              <w:pStyle w:val="14"/>
            </w:pPr>
            <w:r>
              <w:t>30.40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185.96</w:t>
            </w:r>
          </w:p>
        </w:tc>
        <w:tc>
          <w:tcPr>
            <w:tcW w:w="2551" w:type="dxa"/>
            <w:vAlign w:val="center"/>
          </w:tcPr>
          <w:p>
            <w:pPr>
              <w:pStyle w:val="14"/>
            </w:pPr>
            <w:r>
              <w:t>185.96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58.82</w:t>
            </w:r>
          </w:p>
        </w:tc>
        <w:tc>
          <w:tcPr>
            <w:tcW w:w="2551" w:type="dxa"/>
            <w:vAlign w:val="center"/>
          </w:tcPr>
          <w:p>
            <w:pPr>
              <w:pStyle w:val="14"/>
            </w:pPr>
            <w:r>
              <w:t>58.82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20.87</w:t>
            </w:r>
          </w:p>
        </w:tc>
        <w:tc>
          <w:tcPr>
            <w:tcW w:w="2551" w:type="dxa"/>
            <w:vAlign w:val="center"/>
          </w:tcPr>
          <w:p>
            <w:pPr>
              <w:pStyle w:val="14"/>
            </w:pPr>
            <w:r>
              <w:t>20.87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1.47</w:t>
            </w:r>
          </w:p>
        </w:tc>
        <w:tc>
          <w:tcPr>
            <w:tcW w:w="2551" w:type="dxa"/>
            <w:vAlign w:val="center"/>
          </w:tcPr>
          <w:p>
            <w:pPr>
              <w:pStyle w:val="14"/>
            </w:pPr>
            <w:r>
              <w:t>1.47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48.61</w:t>
            </w:r>
          </w:p>
        </w:tc>
        <w:tc>
          <w:tcPr>
            <w:tcW w:w="2551" w:type="dxa"/>
            <w:vAlign w:val="center"/>
          </w:tcPr>
          <w:p>
            <w:pPr>
              <w:pStyle w:val="14"/>
            </w:pPr>
            <w:r>
              <w:t>48.61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46.83</w:t>
            </w:r>
          </w:p>
        </w:tc>
        <w:tc>
          <w:tcPr>
            <w:tcW w:w="2551" w:type="dxa"/>
            <w:vAlign w:val="center"/>
          </w:tcPr>
          <w:p>
            <w:pPr>
              <w:pStyle w:val="14"/>
            </w:pPr>
          </w:p>
        </w:tc>
        <w:tc>
          <w:tcPr>
            <w:tcW w:w="2551" w:type="dxa"/>
            <w:vAlign w:val="center"/>
          </w:tcPr>
          <w:p>
            <w:pPr>
              <w:pStyle w:val="14"/>
            </w:pPr>
            <w:r>
              <w:t>46.83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6.24</w:t>
            </w:r>
          </w:p>
        </w:tc>
        <w:tc>
          <w:tcPr>
            <w:tcW w:w="2551" w:type="dxa"/>
            <w:vAlign w:val="center"/>
          </w:tcPr>
          <w:p>
            <w:pPr>
              <w:pStyle w:val="14"/>
            </w:pPr>
          </w:p>
        </w:tc>
        <w:tc>
          <w:tcPr>
            <w:tcW w:w="2551" w:type="dxa"/>
            <w:vAlign w:val="center"/>
          </w:tcPr>
          <w:p>
            <w:pPr>
              <w:pStyle w:val="14"/>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0.47</w:t>
            </w:r>
          </w:p>
        </w:tc>
        <w:tc>
          <w:tcPr>
            <w:tcW w:w="2551" w:type="dxa"/>
            <w:vAlign w:val="center"/>
          </w:tcPr>
          <w:p>
            <w:pPr>
              <w:pStyle w:val="14"/>
            </w:pPr>
          </w:p>
        </w:tc>
        <w:tc>
          <w:tcPr>
            <w:tcW w:w="2551" w:type="dxa"/>
            <w:vAlign w:val="center"/>
          </w:tcPr>
          <w:p>
            <w:pPr>
              <w:pStyle w:val="14"/>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1.25</w:t>
            </w:r>
          </w:p>
        </w:tc>
        <w:tc>
          <w:tcPr>
            <w:tcW w:w="2551" w:type="dxa"/>
            <w:vAlign w:val="center"/>
          </w:tcPr>
          <w:p>
            <w:pPr>
              <w:pStyle w:val="14"/>
            </w:pPr>
          </w:p>
        </w:tc>
        <w:tc>
          <w:tcPr>
            <w:tcW w:w="2551" w:type="dxa"/>
            <w:vAlign w:val="center"/>
          </w:tcPr>
          <w:p>
            <w:pPr>
              <w:pStyle w:val="14"/>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3.51</w:t>
            </w:r>
          </w:p>
        </w:tc>
        <w:tc>
          <w:tcPr>
            <w:tcW w:w="2551" w:type="dxa"/>
            <w:vAlign w:val="center"/>
          </w:tcPr>
          <w:p>
            <w:pPr>
              <w:pStyle w:val="14"/>
            </w:pPr>
          </w:p>
        </w:tc>
        <w:tc>
          <w:tcPr>
            <w:tcW w:w="2551" w:type="dxa"/>
            <w:vAlign w:val="center"/>
          </w:tcPr>
          <w:p>
            <w:pPr>
              <w:pStyle w:val="14"/>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8.37</w:t>
            </w:r>
          </w:p>
        </w:tc>
        <w:tc>
          <w:tcPr>
            <w:tcW w:w="2551" w:type="dxa"/>
            <w:vAlign w:val="center"/>
          </w:tcPr>
          <w:p>
            <w:pPr>
              <w:pStyle w:val="14"/>
            </w:pPr>
          </w:p>
        </w:tc>
        <w:tc>
          <w:tcPr>
            <w:tcW w:w="2551" w:type="dxa"/>
            <w:vAlign w:val="center"/>
          </w:tcPr>
          <w:p>
            <w:pPr>
              <w:pStyle w:val="14"/>
            </w:pPr>
            <w:r>
              <w:t>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2.26</w:t>
            </w:r>
          </w:p>
        </w:tc>
        <w:tc>
          <w:tcPr>
            <w:tcW w:w="2551" w:type="dxa"/>
            <w:vAlign w:val="center"/>
          </w:tcPr>
          <w:p>
            <w:pPr>
              <w:pStyle w:val="14"/>
            </w:pPr>
          </w:p>
        </w:tc>
        <w:tc>
          <w:tcPr>
            <w:tcW w:w="2551" w:type="dxa"/>
            <w:vAlign w:val="center"/>
          </w:tcPr>
          <w:p>
            <w:pPr>
              <w:pStyle w:val="14"/>
            </w:pPr>
            <w:r>
              <w:t>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6.24</w:t>
            </w:r>
          </w:p>
        </w:tc>
        <w:tc>
          <w:tcPr>
            <w:tcW w:w="2551" w:type="dxa"/>
            <w:vAlign w:val="center"/>
          </w:tcPr>
          <w:p>
            <w:pPr>
              <w:pStyle w:val="14"/>
            </w:pPr>
          </w:p>
        </w:tc>
        <w:tc>
          <w:tcPr>
            <w:tcW w:w="2551" w:type="dxa"/>
            <w:vAlign w:val="center"/>
          </w:tcPr>
          <w:p>
            <w:pPr>
              <w:pStyle w:val="14"/>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0.39</w:t>
            </w:r>
          </w:p>
        </w:tc>
        <w:tc>
          <w:tcPr>
            <w:tcW w:w="2551" w:type="dxa"/>
            <w:vAlign w:val="center"/>
          </w:tcPr>
          <w:p>
            <w:pPr>
              <w:pStyle w:val="14"/>
            </w:pPr>
          </w:p>
        </w:tc>
        <w:tc>
          <w:tcPr>
            <w:tcW w:w="2551" w:type="dxa"/>
            <w:vAlign w:val="center"/>
          </w:tcPr>
          <w:p>
            <w:pPr>
              <w:pStyle w:val="14"/>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3.47</w:t>
            </w:r>
          </w:p>
        </w:tc>
        <w:tc>
          <w:tcPr>
            <w:tcW w:w="2551" w:type="dxa"/>
            <w:vAlign w:val="center"/>
          </w:tcPr>
          <w:p>
            <w:pPr>
              <w:pStyle w:val="14"/>
            </w:pPr>
          </w:p>
        </w:tc>
        <w:tc>
          <w:tcPr>
            <w:tcW w:w="2551" w:type="dxa"/>
            <w:vAlign w:val="center"/>
          </w:tcPr>
          <w:p>
            <w:pPr>
              <w:pStyle w:val="14"/>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3.47</w:t>
            </w:r>
          </w:p>
        </w:tc>
        <w:tc>
          <w:tcPr>
            <w:tcW w:w="2551" w:type="dxa"/>
            <w:vAlign w:val="center"/>
          </w:tcPr>
          <w:p>
            <w:pPr>
              <w:pStyle w:val="14"/>
            </w:pPr>
          </w:p>
        </w:tc>
        <w:tc>
          <w:tcPr>
            <w:tcW w:w="2551" w:type="dxa"/>
            <w:vAlign w:val="center"/>
          </w:tcPr>
          <w:p>
            <w:pPr>
              <w:pStyle w:val="14"/>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4.38</w:t>
            </w:r>
          </w:p>
        </w:tc>
        <w:tc>
          <w:tcPr>
            <w:tcW w:w="2551" w:type="dxa"/>
            <w:vAlign w:val="center"/>
          </w:tcPr>
          <w:p>
            <w:pPr>
              <w:pStyle w:val="14"/>
            </w:pPr>
          </w:p>
        </w:tc>
        <w:tc>
          <w:tcPr>
            <w:tcW w:w="2551" w:type="dxa"/>
            <w:vAlign w:val="center"/>
          </w:tcPr>
          <w:p>
            <w:pPr>
              <w:pStyle w:val="14"/>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6.78</w:t>
            </w:r>
          </w:p>
        </w:tc>
        <w:tc>
          <w:tcPr>
            <w:tcW w:w="2551" w:type="dxa"/>
            <w:vAlign w:val="center"/>
          </w:tcPr>
          <w:p>
            <w:pPr>
              <w:pStyle w:val="14"/>
            </w:pPr>
          </w:p>
        </w:tc>
        <w:tc>
          <w:tcPr>
            <w:tcW w:w="2551" w:type="dxa"/>
            <w:vAlign w:val="center"/>
          </w:tcPr>
          <w:p>
            <w:pPr>
              <w:pStyle w:val="14"/>
            </w:pPr>
            <w:r>
              <w:t>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54.73</w:t>
            </w:r>
          </w:p>
        </w:tc>
        <w:tc>
          <w:tcPr>
            <w:tcW w:w="2551" w:type="dxa"/>
            <w:vAlign w:val="center"/>
          </w:tcPr>
          <w:p>
            <w:pPr>
              <w:pStyle w:val="14"/>
            </w:pPr>
            <w:r>
              <w:t>54.73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54.73</w:t>
            </w:r>
          </w:p>
        </w:tc>
        <w:tc>
          <w:tcPr>
            <w:tcW w:w="2551" w:type="dxa"/>
            <w:vAlign w:val="center"/>
          </w:tcPr>
          <w:p>
            <w:pPr>
              <w:pStyle w:val="14"/>
            </w:pPr>
            <w:r>
              <w:t>54.73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4.38</w:t>
            </w:r>
          </w:p>
        </w:tc>
        <w:tc>
          <w:tcPr>
            <w:tcW w:w="2381" w:type="dxa"/>
            <w:vAlign w:val="center"/>
          </w:tcPr>
          <w:p>
            <w:pPr>
              <w:pStyle w:val="18"/>
            </w:pPr>
            <w:r>
              <w:t>4.38</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4.38</w:t>
            </w:r>
          </w:p>
        </w:tc>
        <w:tc>
          <w:tcPr>
            <w:tcW w:w="2381" w:type="dxa"/>
            <w:vAlign w:val="center"/>
          </w:tcPr>
          <w:p>
            <w:pPr>
              <w:pStyle w:val="14"/>
            </w:pPr>
            <w:r>
              <w:t>4.38</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4.38</w:t>
            </w:r>
          </w:p>
        </w:tc>
        <w:tc>
          <w:tcPr>
            <w:tcW w:w="2381" w:type="dxa"/>
            <w:vAlign w:val="center"/>
          </w:tcPr>
          <w:p>
            <w:pPr>
              <w:pStyle w:val="14"/>
            </w:pPr>
            <w:r>
              <w:t>4.38</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廊坊市广阳区医疗保障局本级2025年单位预算信息公开情况说明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按照《中华人民共和国预算法》、《地方预决算公开操作规程》和《关于进一步推进预算公开工作的实施意见》规定，现将廊坊市广阳区医疗保障局本级2025年单位预算公开如下：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（一）拟定全区城镇职工和城乡居民医疗保险、生育保险、大病保险、医疗救助等医疗保障地方性政策、制度、规划和标准。</w:t>
      </w:r>
    </w:p>
    <w:p>
      <w:pPr>
        <w:pStyle w:val="20"/>
      </w:pPr>
      <w:r>
        <w:t>贯彻落实省离休干部医疗费社会统筹政策并组织实施。</w:t>
      </w:r>
    </w:p>
    <w:p>
      <w:pPr>
        <w:pStyle w:val="20"/>
      </w:pPr>
      <w:r>
        <w:t>（二）贯彻落实省、市医疗保障基金监督管理办法，建立健全医疗保障基金安全防控机制，全面开展使用医保智能监控，推进医疗保障基金支付方式改革，并组织实施。</w:t>
      </w:r>
    </w:p>
    <w:p>
      <w:pPr>
        <w:pStyle w:val="20"/>
      </w:pPr>
      <w:r>
        <w:t>（三）贯彻落实廊坊市城镇职工、城乡居民参保筹资和保障待遇政策，统筹城乡医疗保障政策标准，建立健全与筹资水平相适应的待遇调整机制。贯彻落实省长期护理保险制度方案及政策标准并组织实施。</w:t>
      </w:r>
    </w:p>
    <w:p>
      <w:pPr>
        <w:pStyle w:val="20"/>
      </w:pPr>
      <w:r>
        <w:t>（四）贯彻落实全省城乡统一的药品、医用耗材、医疗服务项目、医疗服务设施等医保目录，贯彻落实全市城乡统一的药品、医用耗材、医疗服务项目、医疗服务设施的医保支付标准并组织实施，建立动态调整机制。</w:t>
      </w:r>
    </w:p>
    <w:p>
      <w:pPr>
        <w:pStyle w:val="20"/>
      </w:pPr>
      <w:r>
        <w:t>（五）贯彻落实省、市药品医用耗材价格和医疗服务项目、医疗服务设施收费等政策。贯彻落实医保支付医药服务价格和动态调整机制，依法管理药品、医用耗材、医疗服务价格政策执行情况。建立和完善药品、医用样材和医疗服务价格监测信息发布制度。</w:t>
      </w:r>
    </w:p>
    <w:p>
      <w:pPr>
        <w:pStyle w:val="20"/>
      </w:pPr>
      <w:r>
        <w:t>（六）贯彻落实省药品、医用耗勾的招标采购政策并组织实施，做好监督工作。做好药品、医用耗材招标采购平台建设工作（七）贯彻落实全市定点医药机构协议和文付管理办法并组织实施。建立健全医疗保障信用评价体系和信息披露制度，监督管理定点医药机构的医疗服务行为、医疗费用和医药价格，依法查处医疗保障领域违法违规行为。</w:t>
      </w:r>
    </w:p>
    <w:p>
      <w:pPr>
        <w:pStyle w:val="20"/>
      </w:pPr>
      <w:r>
        <w:t>（八）负责医疗保障经办管理、公共服务体系和信息化建设。</w:t>
      </w:r>
    </w:p>
    <w:p>
      <w:pPr>
        <w:pStyle w:val="20"/>
      </w:pPr>
      <w:r>
        <w:t>落实和完善异地就医管理和费用结算政能并组织实施。建立健金医疗保障关系转移接续制度。</w:t>
      </w:r>
    </w:p>
    <w:p>
      <w:pPr>
        <w:pStyle w:val="20"/>
      </w:pPr>
      <w:r>
        <w:t>（九）完成区委，区政府交办的其他任务。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廊坊市广阳区医疗保障局本级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4230.21万元，其中：一般公共预算收入4230.21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廊坊市广阳区医疗保障局本级年度单位预算中支出预算的总体情况。2025年支出预算4230.21万元，其中基本支出746.41万元，包括人员经费699.58万元和日常公用经费46.83万元；项目支出3483.80万元，主要为城乡居民基本医疗保险补助资金、城乡医疗救助基金。</w:t>
      </w:r>
    </w:p>
    <w:p>
      <w:pPr>
        <w:pStyle w:val="21"/>
      </w:pPr>
      <w:r>
        <w:t>3、比上年增减情况</w:t>
      </w:r>
    </w:p>
    <w:p>
      <w:pPr>
        <w:pStyle w:val="21"/>
      </w:pPr>
      <w:r>
        <w:t>2025年预算收支安排4230.21万元，较2024年预算增加393.44万元，其中：基本支出减少1.91万元，主要为人员类经费支出减少。项目支出增加395.35万元，主要为城乡居民基本医疗保险补助资金、城乡医疗救助基金增加。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22"/>
      </w:pPr>
      <w:r>
        <w:t>2025年，我单位机关运行经费共计安排46.83万元，主要用于日常维修、办公用房水电费、办公用房取暖费、办公用房物业管理费等日常运行支出。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23"/>
      </w:pPr>
      <w:r>
        <w:t>2025年，我单位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1、城乡居民基本医疗保险补助资金[区级]绩效目标表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13100325P00004410001F</w:t>
            </w:r>
          </w:p>
        </w:tc>
        <w:tc>
          <w:tcPr>
            <w:tcW w:w="2835" w:type="dxa"/>
            <w:vAlign w:val="center"/>
          </w:tcPr>
          <w:p>
            <w:pPr>
              <w:pStyle w:val="13"/>
            </w:pPr>
            <w:r>
              <w:t>项目名称</w:t>
            </w:r>
          </w:p>
        </w:tc>
        <w:tc>
          <w:tcPr>
            <w:tcW w:w="6095" w:type="dxa"/>
            <w:gridSpan w:val="3"/>
            <w:vAlign w:val="center"/>
          </w:tcPr>
          <w:p>
            <w:pPr>
              <w:pStyle w:val="15"/>
            </w:pPr>
            <w:r>
              <w:t>城乡居民基本医疗保险补助资金[区级]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3150.00</w:t>
            </w:r>
          </w:p>
        </w:tc>
        <w:tc>
          <w:tcPr>
            <w:tcW w:w="2835" w:type="dxa"/>
            <w:vAlign w:val="center"/>
          </w:tcPr>
          <w:p>
            <w:pPr>
              <w:pStyle w:val="13"/>
            </w:pPr>
            <w:r>
              <w:t>其中：财政    资金</w:t>
            </w:r>
          </w:p>
        </w:tc>
        <w:tc>
          <w:tcPr>
            <w:tcW w:w="2551" w:type="dxa"/>
            <w:vAlign w:val="center"/>
          </w:tcPr>
          <w:p>
            <w:pPr>
              <w:pStyle w:val="15"/>
            </w:pPr>
            <w:r>
              <w:t>3150.00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预算资金3150万元，其中财政资金3150万元，主要用于保证参保人员正常参保，享受医保待遇。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1.通过项目的开展，提升城乡居民参保率，保证全区参保人员正常享受医保待遇,减轻经济负担，解决就医难问题。</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城乡居民参保率</w:t>
            </w:r>
          </w:p>
        </w:tc>
        <w:tc>
          <w:tcPr>
            <w:tcW w:w="5386" w:type="dxa"/>
            <w:vAlign w:val="center"/>
          </w:tcPr>
          <w:p>
            <w:pPr>
              <w:pStyle w:val="15"/>
            </w:pPr>
            <w:r>
              <w:t>已参保人数占应参保人数的百分比　</w:t>
            </w:r>
          </w:p>
        </w:tc>
        <w:tc>
          <w:tcPr>
            <w:tcW w:w="2268" w:type="dxa"/>
            <w:vAlign w:val="center"/>
          </w:tcPr>
          <w:p>
            <w:pPr>
              <w:pStyle w:val="15"/>
            </w:pPr>
            <w:r>
              <w:t>≥95%</w:t>
            </w:r>
          </w:p>
        </w:tc>
        <w:tc>
          <w:tcPr>
            <w:tcW w:w="1276" w:type="dxa"/>
            <w:vAlign w:val="center"/>
          </w:tcPr>
          <w:p>
            <w:pPr>
              <w:pStyle w:val="15"/>
            </w:pPr>
            <w:r>
              <w:t>廊政办【2016】77号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5386" w:type="dxa"/>
            <w:vAlign w:val="center"/>
          </w:tcPr>
          <w:p>
            <w:pPr>
              <w:pStyle w:val="15"/>
            </w:pPr>
            <w:r>
              <w:t>实际上解资金占应上解资金的比例</w:t>
            </w:r>
          </w:p>
        </w:tc>
        <w:tc>
          <w:tcPr>
            <w:tcW w:w="2268" w:type="dxa"/>
            <w:vAlign w:val="center"/>
          </w:tcPr>
          <w:p>
            <w:pPr>
              <w:pStyle w:val="15"/>
            </w:pPr>
            <w:r>
              <w:t>100%</w:t>
            </w:r>
          </w:p>
        </w:tc>
        <w:tc>
          <w:tcPr>
            <w:tcW w:w="1276" w:type="dxa"/>
            <w:vAlign w:val="center"/>
          </w:tcPr>
          <w:p>
            <w:pPr>
              <w:pStyle w:val="15"/>
            </w:pPr>
            <w:r>
              <w:t>廊政办【2016】77号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及时性</w:t>
            </w:r>
          </w:p>
        </w:tc>
        <w:tc>
          <w:tcPr>
            <w:tcW w:w="2268" w:type="dxa"/>
            <w:vAlign w:val="center"/>
          </w:tcPr>
          <w:p>
            <w:pPr>
              <w:pStyle w:val="15"/>
            </w:pPr>
            <w:r>
              <w:t>及时向市级上解资金</w:t>
            </w:r>
          </w:p>
        </w:tc>
        <w:tc>
          <w:tcPr>
            <w:tcW w:w="1276" w:type="dxa"/>
            <w:vAlign w:val="center"/>
          </w:tcPr>
          <w:p>
            <w:pPr>
              <w:pStyle w:val="15"/>
            </w:pPr>
            <w:r>
              <w:t>廊政办【2016】77号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5386" w:type="dxa"/>
            <w:vAlign w:val="center"/>
          </w:tcPr>
          <w:p>
            <w:pPr>
              <w:pStyle w:val="15"/>
            </w:pPr>
            <w:r>
              <w:t>按文件要求补助标准　</w:t>
            </w:r>
          </w:p>
        </w:tc>
        <w:tc>
          <w:tcPr>
            <w:tcW w:w="2268" w:type="dxa"/>
            <w:vAlign w:val="center"/>
          </w:tcPr>
          <w:p>
            <w:pPr>
              <w:pStyle w:val="15"/>
            </w:pPr>
            <w:r>
              <w:t>140元/人</w:t>
            </w:r>
          </w:p>
        </w:tc>
        <w:tc>
          <w:tcPr>
            <w:tcW w:w="1276" w:type="dxa"/>
            <w:vAlign w:val="center"/>
          </w:tcPr>
          <w:p>
            <w:pPr>
              <w:pStyle w:val="15"/>
            </w:pPr>
            <w:r>
              <w:t>廊政办字【2018】103号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提升参保人员就医保障　</w:t>
            </w:r>
          </w:p>
        </w:tc>
        <w:tc>
          <w:tcPr>
            <w:tcW w:w="5386" w:type="dxa"/>
            <w:vAlign w:val="center"/>
          </w:tcPr>
          <w:p>
            <w:pPr>
              <w:pStyle w:val="15"/>
            </w:pPr>
            <w:r>
              <w:t>提升参保居民对医保政策认知，有效改善参保人员就医现状　</w:t>
            </w:r>
          </w:p>
        </w:tc>
        <w:tc>
          <w:tcPr>
            <w:tcW w:w="2268" w:type="dxa"/>
            <w:vAlign w:val="center"/>
          </w:tcPr>
          <w:p>
            <w:pPr>
              <w:pStyle w:val="15"/>
            </w:pPr>
            <w:r>
              <w:t>显著</w:t>
            </w:r>
          </w:p>
        </w:tc>
        <w:tc>
          <w:tcPr>
            <w:tcW w:w="1276" w:type="dxa"/>
            <w:vAlign w:val="center"/>
          </w:tcPr>
          <w:p>
            <w:pPr>
              <w:pStyle w:val="15"/>
            </w:pPr>
            <w:r>
              <w:t>调查问卷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减轻就医经济负担　</w:t>
            </w:r>
          </w:p>
        </w:tc>
        <w:tc>
          <w:tcPr>
            <w:tcW w:w="5386" w:type="dxa"/>
            <w:vAlign w:val="center"/>
          </w:tcPr>
          <w:p>
            <w:pPr>
              <w:pStyle w:val="15"/>
            </w:pPr>
            <w:r>
              <w:t>参保人员每次就医降低费用的支出，减轻就医经济负担　</w:t>
            </w:r>
          </w:p>
        </w:tc>
        <w:tc>
          <w:tcPr>
            <w:tcW w:w="2268" w:type="dxa"/>
            <w:vAlign w:val="center"/>
          </w:tcPr>
          <w:p>
            <w:pPr>
              <w:pStyle w:val="15"/>
            </w:pPr>
            <w:r>
              <w:t>显著</w:t>
            </w:r>
          </w:p>
        </w:tc>
        <w:tc>
          <w:tcPr>
            <w:tcW w:w="1276" w:type="dxa"/>
            <w:vAlign w:val="center"/>
          </w:tcPr>
          <w:p>
            <w:pPr>
              <w:pStyle w:val="15"/>
            </w:pPr>
            <w:r>
              <w:t>调查问卷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辖区内参保人员满意度　</w:t>
            </w:r>
          </w:p>
        </w:tc>
        <w:tc>
          <w:tcPr>
            <w:tcW w:w="5386" w:type="dxa"/>
            <w:vAlign w:val="center"/>
          </w:tcPr>
          <w:p>
            <w:pPr>
              <w:pStyle w:val="15"/>
            </w:pPr>
            <w:r>
              <w:t>通过调查，满意参保人员占调查总人数的比例</w:t>
            </w:r>
          </w:p>
        </w:tc>
        <w:tc>
          <w:tcPr>
            <w:tcW w:w="2268" w:type="dxa"/>
            <w:vAlign w:val="center"/>
          </w:tcPr>
          <w:p>
            <w:pPr>
              <w:pStyle w:val="15"/>
            </w:pPr>
            <w:r>
              <w:t>≥90%</w:t>
            </w:r>
          </w:p>
        </w:tc>
        <w:tc>
          <w:tcPr>
            <w:tcW w:w="1276" w:type="dxa"/>
            <w:vAlign w:val="center"/>
          </w:tcPr>
          <w:p>
            <w:pPr>
              <w:pStyle w:val="15"/>
            </w:pPr>
            <w:r>
              <w:t>调查问卷</w:t>
            </w:r>
            <w:r>
              <w:tab/>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2、城乡医疗救助基金绩效目标表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13100325P00004910001U</w:t>
            </w:r>
          </w:p>
        </w:tc>
        <w:tc>
          <w:tcPr>
            <w:tcW w:w="2835" w:type="dxa"/>
            <w:vAlign w:val="center"/>
          </w:tcPr>
          <w:p>
            <w:pPr>
              <w:pStyle w:val="13"/>
            </w:pPr>
            <w:r>
              <w:t>项目名称</w:t>
            </w:r>
          </w:p>
        </w:tc>
        <w:tc>
          <w:tcPr>
            <w:tcW w:w="6095" w:type="dxa"/>
            <w:gridSpan w:val="3"/>
            <w:vAlign w:val="center"/>
          </w:tcPr>
          <w:p>
            <w:pPr>
              <w:pStyle w:val="15"/>
            </w:pPr>
            <w:r>
              <w:t>城乡医疗救助基金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305.80</w:t>
            </w:r>
          </w:p>
        </w:tc>
        <w:tc>
          <w:tcPr>
            <w:tcW w:w="2835" w:type="dxa"/>
            <w:vAlign w:val="center"/>
          </w:tcPr>
          <w:p>
            <w:pPr>
              <w:pStyle w:val="13"/>
            </w:pPr>
            <w:r>
              <w:t>其中：财政    资金</w:t>
            </w:r>
          </w:p>
        </w:tc>
        <w:tc>
          <w:tcPr>
            <w:tcW w:w="2551" w:type="dxa"/>
            <w:vAlign w:val="center"/>
          </w:tcPr>
          <w:p>
            <w:pPr>
              <w:pStyle w:val="15"/>
            </w:pPr>
            <w:r>
              <w:t>305.80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对城乡困难居民（含脱贫人口、监测对象、特困人员、低保对象、低保边缘家庭成员和因病致贫重病患者）参加城乡居民医疗保险个人缴费部分进行分类资助，以及对上述救助对象经基本医疗保险、大病保险报销后，政策范围内个人自付费用给予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 通过项目的开展完成城乡医疗救助，实现对脱贫人口、监测对象、特困人员、低保对象参加城乡居民基本医疗保险个人缴费部分予以资助，对救助对象个人负担的合规医疗费用在年度救助限额内给予救助。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本年度门诊、住院直接救助的人次占符合救助条件的比例</w:t>
            </w:r>
          </w:p>
        </w:tc>
        <w:tc>
          <w:tcPr>
            <w:tcW w:w="5386" w:type="dxa"/>
            <w:vAlign w:val="center"/>
          </w:tcPr>
          <w:p>
            <w:pPr>
              <w:pStyle w:val="15"/>
            </w:pPr>
            <w:r>
              <w:t>本年度门诊、住院直接救助的人次占符合救助条件的比例</w:t>
            </w:r>
          </w:p>
        </w:tc>
        <w:tc>
          <w:tcPr>
            <w:tcW w:w="2268" w:type="dxa"/>
            <w:vAlign w:val="center"/>
          </w:tcPr>
          <w:p>
            <w:pPr>
              <w:pStyle w:val="15"/>
            </w:pPr>
            <w:r>
              <w:t>100%</w:t>
            </w:r>
          </w:p>
        </w:tc>
        <w:tc>
          <w:tcPr>
            <w:tcW w:w="1276" w:type="dxa"/>
            <w:vAlign w:val="center"/>
          </w:tcPr>
          <w:p>
            <w:pPr>
              <w:pStyle w:val="15"/>
            </w:pPr>
            <w:r>
              <w:t>廊医保发【2021】36号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重点救助对象政策范围内住院自付费用年度限额内救助比率</w:t>
            </w:r>
          </w:p>
        </w:tc>
        <w:tc>
          <w:tcPr>
            <w:tcW w:w="5386" w:type="dxa"/>
            <w:vAlign w:val="center"/>
          </w:tcPr>
          <w:p>
            <w:pPr>
              <w:pStyle w:val="15"/>
            </w:pPr>
            <w:r>
              <w:t>根据《国务院办公厅关于健全重特大疾病医疗保险和救助制度的意见》，对低保对象、特困人员符合规定的医疗费用可按不低于70%的比例救助</w:t>
            </w:r>
          </w:p>
        </w:tc>
        <w:tc>
          <w:tcPr>
            <w:tcW w:w="2268" w:type="dxa"/>
            <w:vAlign w:val="center"/>
          </w:tcPr>
          <w:p>
            <w:pPr>
              <w:pStyle w:val="15"/>
            </w:pPr>
            <w:r>
              <w:t>≥70%</w:t>
            </w:r>
          </w:p>
        </w:tc>
        <w:tc>
          <w:tcPr>
            <w:tcW w:w="1276" w:type="dxa"/>
            <w:vAlign w:val="center"/>
          </w:tcPr>
          <w:p>
            <w:pPr>
              <w:pStyle w:val="15"/>
            </w:pPr>
            <w:r>
              <w:t>廊医保发【2021】36号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结算及时性</w:t>
            </w:r>
          </w:p>
        </w:tc>
        <w:tc>
          <w:tcPr>
            <w:tcW w:w="5386" w:type="dxa"/>
            <w:vAlign w:val="center"/>
          </w:tcPr>
          <w:p>
            <w:pPr>
              <w:pStyle w:val="15"/>
            </w:pPr>
            <w:r>
              <w:t>从接收申请到审核拨付完成需要的时间</w:t>
            </w:r>
          </w:p>
        </w:tc>
        <w:tc>
          <w:tcPr>
            <w:tcW w:w="2268" w:type="dxa"/>
            <w:vAlign w:val="center"/>
          </w:tcPr>
          <w:p>
            <w:pPr>
              <w:pStyle w:val="15"/>
            </w:pPr>
            <w:r>
              <w:t>≤30工作日</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救助金额</w:t>
            </w:r>
          </w:p>
        </w:tc>
        <w:tc>
          <w:tcPr>
            <w:tcW w:w="5386" w:type="dxa"/>
            <w:vAlign w:val="center"/>
          </w:tcPr>
          <w:p>
            <w:pPr>
              <w:pStyle w:val="15"/>
            </w:pPr>
            <w:r>
              <w:t>按照文件要求</w:t>
            </w:r>
          </w:p>
        </w:tc>
        <w:tc>
          <w:tcPr>
            <w:tcW w:w="2268" w:type="dxa"/>
            <w:vAlign w:val="center"/>
          </w:tcPr>
          <w:p>
            <w:pPr>
              <w:pStyle w:val="15"/>
            </w:pPr>
            <w:r>
              <w:t>≤305.8万元</w:t>
            </w:r>
          </w:p>
        </w:tc>
        <w:tc>
          <w:tcPr>
            <w:tcW w:w="1276" w:type="dxa"/>
            <w:vAlign w:val="center"/>
          </w:tcPr>
          <w:p>
            <w:pPr>
              <w:pStyle w:val="15"/>
            </w:pPr>
            <w:r>
              <w:t>廊医保发【2021】36号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困难群众医疗费用负担减轻程度</w:t>
            </w:r>
          </w:p>
        </w:tc>
        <w:tc>
          <w:tcPr>
            <w:tcW w:w="5386" w:type="dxa"/>
            <w:vAlign w:val="center"/>
          </w:tcPr>
          <w:p>
            <w:pPr>
              <w:pStyle w:val="15"/>
            </w:pPr>
            <w:r>
              <w:t>救助对象参保缴费的压力和政策范围内个人费用负担明显减轻</w:t>
            </w:r>
          </w:p>
        </w:tc>
        <w:tc>
          <w:tcPr>
            <w:tcW w:w="2268" w:type="dxa"/>
            <w:vAlign w:val="center"/>
          </w:tcPr>
          <w:p>
            <w:pPr>
              <w:pStyle w:val="15"/>
            </w:pPr>
            <w:r>
              <w:t>有效缓解</w:t>
            </w:r>
          </w:p>
        </w:tc>
        <w:tc>
          <w:tcPr>
            <w:tcW w:w="1276" w:type="dxa"/>
            <w:vAlign w:val="center"/>
          </w:tcPr>
          <w:p>
            <w:pPr>
              <w:pStyle w:val="15"/>
            </w:pPr>
            <w:r>
              <w:t>廊医保发【2021】36号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对健全医疗保障制度体系的作用</w:t>
            </w:r>
          </w:p>
        </w:tc>
        <w:tc>
          <w:tcPr>
            <w:tcW w:w="5386" w:type="dxa"/>
            <w:vAlign w:val="center"/>
          </w:tcPr>
          <w:p>
            <w:pPr>
              <w:pStyle w:val="15"/>
            </w:pPr>
            <w:r>
              <w:t>医疗救助对健全医疗保障体系、提高医疗保障水平的作用</w:t>
            </w:r>
          </w:p>
        </w:tc>
        <w:tc>
          <w:tcPr>
            <w:tcW w:w="2268" w:type="dxa"/>
            <w:vAlign w:val="center"/>
          </w:tcPr>
          <w:p>
            <w:pPr>
              <w:pStyle w:val="15"/>
            </w:pPr>
            <w:r>
              <w:t>成效明显</w:t>
            </w:r>
          </w:p>
        </w:tc>
        <w:tc>
          <w:tcPr>
            <w:tcW w:w="1276" w:type="dxa"/>
            <w:vAlign w:val="center"/>
          </w:tcPr>
          <w:p>
            <w:pPr>
              <w:pStyle w:val="15"/>
            </w:pPr>
            <w:r>
              <w:t>廊医保发【2021】36号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工作满意度</w:t>
            </w:r>
          </w:p>
        </w:tc>
        <w:tc>
          <w:tcPr>
            <w:tcW w:w="5386" w:type="dxa"/>
            <w:vAlign w:val="center"/>
          </w:tcPr>
          <w:p>
            <w:pPr>
              <w:pStyle w:val="15"/>
            </w:pPr>
            <w:r>
              <w:t>救助对象对救助工作满意度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3、医疗服务与保障能力提升资金[中央]绩效目标表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13100325P00006110002G</w:t>
            </w:r>
          </w:p>
        </w:tc>
        <w:tc>
          <w:tcPr>
            <w:tcW w:w="2835" w:type="dxa"/>
            <w:vAlign w:val="center"/>
          </w:tcPr>
          <w:p>
            <w:pPr>
              <w:pStyle w:val="13"/>
            </w:pPr>
            <w:r>
              <w:t>项目名称</w:t>
            </w:r>
          </w:p>
        </w:tc>
        <w:tc>
          <w:tcPr>
            <w:tcW w:w="6095" w:type="dxa"/>
            <w:gridSpan w:val="3"/>
            <w:vAlign w:val="center"/>
          </w:tcPr>
          <w:p>
            <w:pPr>
              <w:pStyle w:val="15"/>
            </w:pPr>
            <w:r>
              <w:t>医疗服务与保障能力提升资金[中央]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28.00</w:t>
            </w:r>
          </w:p>
        </w:tc>
        <w:tc>
          <w:tcPr>
            <w:tcW w:w="2835" w:type="dxa"/>
            <w:vAlign w:val="center"/>
          </w:tcPr>
          <w:p>
            <w:pPr>
              <w:pStyle w:val="13"/>
            </w:pPr>
            <w:r>
              <w:t>其中：财政    资金</w:t>
            </w:r>
          </w:p>
        </w:tc>
        <w:tc>
          <w:tcPr>
            <w:tcW w:w="2551" w:type="dxa"/>
            <w:vAlign w:val="center"/>
          </w:tcPr>
          <w:p>
            <w:pPr>
              <w:pStyle w:val="15"/>
            </w:pPr>
            <w:r>
              <w:t>28.00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该资金重点用于各地医保信息化标准化、基金监管、医保支付方式改革、经办管理服务体系建设、药品和医用耗材集中带量采购、医疗服务价格改革、医保目录实施监管等方面工作。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1.加强打击欺诈骗保工作力度，切实保障医保基金合理有效使用。</w:t>
            </w:r>
          </w:p>
          <w:p>
            <w:pPr>
              <w:pStyle w:val="15"/>
            </w:pPr>
            <w:r>
              <w:t>2.有效提升综合监管、宣传引导、经办服务、人才队伍建设等医疗保障服务能力。</w:t>
            </w:r>
          </w:p>
          <w:p>
            <w:pPr>
              <w:pStyle w:val="15"/>
            </w:pPr>
            <w:r>
              <w:t>3.提升医保信息化水平，加强电子凭证、移动支付、医保钱包等方面宣传力度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开展宣传活动（医保政策、法律法规、打击欺诈骗保维护基金安全等）</w:t>
            </w:r>
          </w:p>
        </w:tc>
        <w:tc>
          <w:tcPr>
            <w:tcW w:w="5386" w:type="dxa"/>
            <w:vAlign w:val="center"/>
          </w:tcPr>
          <w:p>
            <w:pPr>
              <w:pStyle w:val="15"/>
            </w:pPr>
            <w:r>
              <w:t>开展宣传活动（医保政策、法律法规、打击欺诈骗保维护基金安全等）</w:t>
            </w:r>
          </w:p>
        </w:tc>
        <w:tc>
          <w:tcPr>
            <w:tcW w:w="2268" w:type="dxa"/>
            <w:vAlign w:val="center"/>
          </w:tcPr>
          <w:p>
            <w:pPr>
              <w:pStyle w:val="15"/>
            </w:pPr>
            <w:r>
              <w:t>≥2次</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定点医疗机构移动支付结算占比不低于30%</w:t>
            </w:r>
          </w:p>
          <w:p>
            <w:pPr>
              <w:pStyle w:val="15"/>
            </w:pPr>
          </w:p>
        </w:tc>
        <w:tc>
          <w:tcPr>
            <w:tcW w:w="5386" w:type="dxa"/>
            <w:vAlign w:val="center"/>
          </w:tcPr>
          <w:p>
            <w:pPr>
              <w:pStyle w:val="15"/>
            </w:pPr>
            <w:r>
              <w:t>定点医疗机构移动支付结算占比不低于30%</w:t>
            </w:r>
          </w:p>
        </w:tc>
        <w:tc>
          <w:tcPr>
            <w:tcW w:w="2268" w:type="dxa"/>
            <w:vAlign w:val="center"/>
          </w:tcPr>
          <w:p>
            <w:pPr>
              <w:pStyle w:val="15"/>
            </w:pPr>
            <w:r>
              <w:t>有所提升</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定点医疗机构移动支付结算时间</w:t>
            </w:r>
          </w:p>
        </w:tc>
        <w:tc>
          <w:tcPr>
            <w:tcW w:w="5386" w:type="dxa"/>
            <w:vAlign w:val="center"/>
          </w:tcPr>
          <w:p>
            <w:pPr>
              <w:pStyle w:val="15"/>
            </w:pPr>
            <w:r>
              <w:t>定点医疗机构移动支付结算时间</w:t>
            </w:r>
          </w:p>
        </w:tc>
        <w:tc>
          <w:tcPr>
            <w:tcW w:w="2268" w:type="dxa"/>
            <w:vAlign w:val="center"/>
          </w:tcPr>
          <w:p>
            <w:pPr>
              <w:pStyle w:val="15"/>
            </w:pPr>
            <w:r>
              <w:t>12月底前</w:t>
            </w:r>
          </w:p>
        </w:tc>
        <w:tc>
          <w:tcPr>
            <w:tcW w:w="1276" w:type="dxa"/>
            <w:vAlign w:val="center"/>
          </w:tcPr>
          <w:p>
            <w:pPr>
              <w:pStyle w:val="15"/>
            </w:pPr>
            <w:r>
              <w:t>《河北省医保局关于进一步加快推动移动支付建设的通知》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项目支出总金额</w:t>
            </w:r>
          </w:p>
        </w:tc>
        <w:tc>
          <w:tcPr>
            <w:tcW w:w="5386" w:type="dxa"/>
            <w:vAlign w:val="center"/>
          </w:tcPr>
          <w:p>
            <w:pPr>
              <w:pStyle w:val="15"/>
            </w:pPr>
            <w:r>
              <w:t>项目支出总金额</w:t>
            </w:r>
          </w:p>
        </w:tc>
        <w:tc>
          <w:tcPr>
            <w:tcW w:w="2268" w:type="dxa"/>
            <w:vAlign w:val="center"/>
          </w:tcPr>
          <w:p>
            <w:pPr>
              <w:pStyle w:val="15"/>
            </w:pPr>
            <w:r>
              <w:t>28万</w:t>
            </w:r>
          </w:p>
        </w:tc>
        <w:tc>
          <w:tcPr>
            <w:tcW w:w="1276" w:type="dxa"/>
            <w:vAlign w:val="center"/>
          </w:tcPr>
          <w:p>
            <w:pPr>
              <w:pStyle w:val="15"/>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参保群众医保重要政策知晓率</w:t>
            </w:r>
          </w:p>
        </w:tc>
        <w:tc>
          <w:tcPr>
            <w:tcW w:w="5386" w:type="dxa"/>
            <w:vAlign w:val="center"/>
          </w:tcPr>
          <w:p>
            <w:pPr>
              <w:pStyle w:val="15"/>
            </w:pPr>
            <w:r>
              <w:t>参保群众医保重要政策知晓率</w:t>
            </w:r>
          </w:p>
        </w:tc>
        <w:tc>
          <w:tcPr>
            <w:tcW w:w="2268" w:type="dxa"/>
            <w:vAlign w:val="center"/>
          </w:tcPr>
          <w:p>
            <w:pPr>
              <w:pStyle w:val="15"/>
            </w:pPr>
            <w:r>
              <w:t>普遍知晓</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参保人员对医保服务的满意度</w:t>
            </w:r>
          </w:p>
        </w:tc>
        <w:tc>
          <w:tcPr>
            <w:tcW w:w="2268" w:type="dxa"/>
            <w:vAlign w:val="center"/>
          </w:tcPr>
          <w:p>
            <w:pPr>
              <w:pStyle w:val="15"/>
            </w:pPr>
            <w:r>
              <w:t>≥90%</w:t>
            </w:r>
          </w:p>
        </w:tc>
        <w:tc>
          <w:tcPr>
            <w:tcW w:w="1276"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廊坊市广阳区医疗保障局本级上年末固定资产金额为167.16万元（详见下表）。本年度拟购置固定资产总额为0.00万元，已按要求列入政府采购预算，详见政府采购预算表。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571001廊坊市广阳区医疗保障局本级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167.16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vAlign w:val="center"/>
          </w:tcPr>
          <w:p>
            <w:pPr>
              <w:pStyle w:val="16"/>
            </w:pPr>
            <w:r>
              <w:t>304</w:t>
            </w:r>
          </w:p>
        </w:tc>
        <w:tc>
          <w:tcPr>
            <w:tcW w:w="2835" w:type="dxa"/>
            <w:vAlign w:val="center"/>
          </w:tcPr>
          <w:p>
            <w:pPr>
              <w:pStyle w:val="14"/>
            </w:pPr>
            <w:r>
              <w:t>149.11</w:t>
            </w:r>
          </w:p>
        </w:tc>
      </w:tr>
    </w:tbl>
    <w:p>
      <w:pPr>
        <w:ind w:firstLine="640"/>
      </w:pPr>
      <w:r>
        <w:rPr>
          <w:rFonts w:eastAsia="方正仿宋_GBK"/>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B3E9E"/>
    <w:rsid w:val="00146230"/>
    <w:rsid w:val="00B83E21"/>
    <w:rsid w:val="00D4763F"/>
    <w:rsid w:val="00EB3E9E"/>
    <w:rsid w:val="245D03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1870</Words>
  <Characters>10660</Characters>
  <Lines>88</Lines>
  <Paragraphs>25</Paragraphs>
  <TotalTime>0</TotalTime>
  <ScaleCrop>false</ScaleCrop>
  <LinksUpToDate>false</LinksUpToDate>
  <CharactersWithSpaces>12505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2025-03-03T14:30:00Z</dcterms:created>
  <dc:creator>lenovo001</dc:creator>
  <cp:lastModifiedBy>lenovo001</cp:lastModifiedBy>
  <dcterms:modified xsi:type="dcterms:W3CDTF">2025-03-04T07:56:48Z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32293328AD044ECDA96C8B75730639B9</vt:lpwstr>
  </property>
</Properties>
</file>